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49AF" w14:textId="1086423B" w:rsidR="00267805" w:rsidRPr="0037366E" w:rsidRDefault="00267805" w:rsidP="00267805">
      <w:pPr>
        <w:spacing w:line="240" w:lineRule="auto"/>
        <w:contextualSpacing/>
      </w:pPr>
      <w:r w:rsidRPr="0037366E">
        <w:rPr>
          <w:b/>
        </w:rPr>
        <w:t>Sesión</w:t>
      </w:r>
      <w:r w:rsidRPr="0037366E">
        <w:t xml:space="preserve">: </w:t>
      </w:r>
      <w:r w:rsidRPr="0037366E">
        <w:tab/>
      </w:r>
      <w:r w:rsidR="00ED4ED8" w:rsidRPr="00CF182B">
        <w:t>OG.S</w:t>
      </w:r>
      <w:r w:rsidR="004758DB">
        <w:t>0</w:t>
      </w:r>
      <w:r w:rsidR="00ED4ED8" w:rsidRPr="00CF182B">
        <w:t>.201</w:t>
      </w:r>
      <w:r w:rsidR="00063208">
        <w:t>9</w:t>
      </w:r>
      <w:r w:rsidR="00ED4ED8" w:rsidRPr="00CF182B">
        <w:t>.</w:t>
      </w:r>
      <w:r w:rsidR="004E54FC">
        <w:t>5</w:t>
      </w:r>
    </w:p>
    <w:p w14:paraId="0FBAA9CD" w14:textId="0B18C205" w:rsidR="00267805" w:rsidRPr="0037366E" w:rsidRDefault="00267805" w:rsidP="00267805">
      <w:pPr>
        <w:spacing w:line="240" w:lineRule="auto"/>
        <w:contextualSpacing/>
      </w:pPr>
      <w:r w:rsidRPr="0037366E">
        <w:rPr>
          <w:b/>
        </w:rPr>
        <w:t xml:space="preserve">Fecha: </w:t>
      </w:r>
      <w:r w:rsidR="00ED4ED8">
        <w:tab/>
      </w:r>
      <w:r w:rsidR="004E54FC">
        <w:t>27</w:t>
      </w:r>
      <w:r w:rsidRPr="00CF182B">
        <w:t xml:space="preserve"> de</w:t>
      </w:r>
      <w:r w:rsidR="00825DCD">
        <w:t xml:space="preserve"> </w:t>
      </w:r>
      <w:r w:rsidR="00C44D91">
        <w:t>agosto</w:t>
      </w:r>
      <w:r w:rsidRPr="00CF182B">
        <w:t xml:space="preserve"> de 201</w:t>
      </w:r>
      <w:r w:rsidR="00063208">
        <w:t>9</w:t>
      </w:r>
    </w:p>
    <w:p w14:paraId="0710CE2E" w14:textId="41F883D6" w:rsidR="00267805" w:rsidRPr="00CF182B" w:rsidRDefault="00267805" w:rsidP="00267805">
      <w:pPr>
        <w:spacing w:line="240" w:lineRule="auto"/>
        <w:contextualSpacing/>
      </w:pPr>
      <w:r w:rsidRPr="44F2C78C">
        <w:rPr>
          <w:b/>
          <w:bCs/>
        </w:rPr>
        <w:t>Hora</w:t>
      </w:r>
      <w:r w:rsidR="6AE0D800" w:rsidRPr="44F2C78C">
        <w:rPr>
          <w:b/>
          <w:bCs/>
        </w:rPr>
        <w:t xml:space="preserve">: </w:t>
      </w:r>
      <w:r w:rsidR="00ED4ED8">
        <w:tab/>
      </w:r>
      <w:r w:rsidR="00825DCD">
        <w:t>1</w:t>
      </w:r>
      <w:r w:rsidR="004758DB">
        <w:t>8</w:t>
      </w:r>
      <w:r w:rsidR="00ED4ED8" w:rsidRPr="00CF182B">
        <w:t>:</w:t>
      </w:r>
      <w:r w:rsidR="00063208">
        <w:t>0</w:t>
      </w:r>
      <w:r w:rsidR="00CF182B" w:rsidRPr="00CF182B">
        <w:t>0</w:t>
      </w:r>
      <w:r w:rsidRPr="00CF182B">
        <w:t xml:space="preserve"> </w:t>
      </w:r>
      <w:r w:rsidR="001A0197" w:rsidRPr="00CF182B">
        <w:t>horas</w:t>
      </w:r>
    </w:p>
    <w:p w14:paraId="2AC270BC" w14:textId="1303F86E" w:rsidR="00063208" w:rsidRDefault="00267805" w:rsidP="00267805">
      <w:pPr>
        <w:spacing w:line="240" w:lineRule="auto"/>
        <w:contextualSpacing/>
      </w:pPr>
      <w:r w:rsidRPr="00CF182B">
        <w:rPr>
          <w:b/>
        </w:rPr>
        <w:t>Lugar:</w:t>
      </w:r>
      <w:r w:rsidRPr="00CF182B">
        <w:t xml:space="preserve"> </w:t>
      </w:r>
      <w:r w:rsidRPr="00CF182B">
        <w:tab/>
      </w:r>
      <w:r w:rsidR="004E54FC">
        <w:t>ITEI</w:t>
      </w:r>
    </w:p>
    <w:p w14:paraId="006BB4B7" w14:textId="04C7CD0C" w:rsidR="00EE0E72" w:rsidRDefault="00875E47" w:rsidP="004758DB">
      <w:pPr>
        <w:spacing w:line="240" w:lineRule="auto"/>
        <w:ind w:left="1416"/>
        <w:contextualSpacing/>
      </w:pPr>
      <w:r w:rsidRPr="00875E47">
        <w:t>Av. Ignacio L. Vallarta 1312, Col</w:t>
      </w:r>
      <w:r w:rsidR="00AD7556">
        <w:t>.</w:t>
      </w:r>
      <w:r w:rsidRPr="00875E47">
        <w:t xml:space="preserve"> Americana</w:t>
      </w:r>
      <w:r w:rsidR="004758DB" w:rsidRPr="00340C09">
        <w:t xml:space="preserve">, </w:t>
      </w:r>
      <w:r w:rsidR="004758DB">
        <w:t>C</w:t>
      </w:r>
      <w:r w:rsidR="004758DB" w:rsidRPr="00340C09">
        <w:t>.</w:t>
      </w:r>
      <w:r w:rsidR="004758DB">
        <w:t>P</w:t>
      </w:r>
      <w:r w:rsidR="004758DB" w:rsidRPr="00340C09">
        <w:t xml:space="preserve">. </w:t>
      </w:r>
      <w:r w:rsidR="003C573E" w:rsidRPr="003C573E">
        <w:t>44160</w:t>
      </w:r>
      <w:r w:rsidR="004758DB" w:rsidRPr="00340C09">
        <w:t>, Guadalajara, Jalisco</w:t>
      </w:r>
      <w:r w:rsidR="00AD7556">
        <w:t>.</w:t>
      </w:r>
    </w:p>
    <w:p w14:paraId="3F0090D8" w14:textId="77777777" w:rsidR="004758DB" w:rsidRPr="0037366E" w:rsidRDefault="004758DB" w:rsidP="00267805">
      <w:pPr>
        <w:spacing w:line="240" w:lineRule="auto"/>
        <w:contextualSpacing/>
        <w:rPr>
          <w:b/>
        </w:rPr>
      </w:pPr>
    </w:p>
    <w:p w14:paraId="13C18970" w14:textId="13AF5987" w:rsidR="004758DB" w:rsidRPr="0037366E" w:rsidRDefault="004758DB" w:rsidP="004758DB">
      <w:pPr>
        <w:spacing w:line="240" w:lineRule="auto"/>
        <w:contextualSpacing/>
        <w:jc w:val="both"/>
      </w:pPr>
      <w:r w:rsidRPr="0037366E">
        <w:t xml:space="preserve">Conforme con lo dispuesto en el artículo </w:t>
      </w:r>
      <w:r>
        <w:t>28</w:t>
      </w:r>
      <w:r w:rsidRPr="0037366E">
        <w:t xml:space="preserve"> de la Ley del Sistema Anticorrupción del Estado de Jalisco </w:t>
      </w:r>
      <w:r>
        <w:t xml:space="preserve">y </w:t>
      </w:r>
      <w:r w:rsidRPr="00251615">
        <w:t>el artículo 14 del Estatuto Orgánico de la Secretaría Ejecutiva del Sistema Estatal Anticorrupción de Jalisco</w:t>
      </w:r>
      <w:r>
        <w:t>,</w:t>
      </w:r>
      <w:r w:rsidRPr="00251615">
        <w:t xml:space="preserve"> </w:t>
      </w:r>
      <w:r w:rsidRPr="0037366E">
        <w:t xml:space="preserve">y previa convocatoria emitida </w:t>
      </w:r>
      <w:r w:rsidRPr="00251615">
        <w:t xml:space="preserve">el </w:t>
      </w:r>
      <w:r w:rsidR="00F90D79">
        <w:t>20</w:t>
      </w:r>
      <w:r w:rsidRPr="00251615">
        <w:t xml:space="preserve"> de</w:t>
      </w:r>
      <w:r w:rsidR="00F90D79">
        <w:t xml:space="preserve"> agosto</w:t>
      </w:r>
      <w:r w:rsidRPr="00251615">
        <w:t xml:space="preserve"> de 201</w:t>
      </w:r>
      <w:r>
        <w:t>9</w:t>
      </w:r>
      <w:r w:rsidRPr="00251615">
        <w:t>,</w:t>
      </w:r>
      <w:r w:rsidRPr="0037366E">
        <w:t xml:space="preserve"> los integrantes del Órgano de Gobierno de la Secretaría Ejecutiva del Sistema Estatal Anticorrupción de Jalisco celebran </w:t>
      </w:r>
      <w:r w:rsidRPr="00251615">
        <w:t xml:space="preserve">la </w:t>
      </w:r>
      <w:r w:rsidR="00B7091D">
        <w:t>Tercera</w:t>
      </w:r>
      <w:r>
        <w:t xml:space="preserve"> </w:t>
      </w:r>
      <w:r w:rsidR="00F90D79">
        <w:t>S</w:t>
      </w:r>
      <w:r>
        <w:t xml:space="preserve">esión </w:t>
      </w:r>
      <w:r w:rsidR="00F90D79">
        <w:t>O</w:t>
      </w:r>
      <w:r>
        <w:t>rdinaria</w:t>
      </w:r>
      <w:r w:rsidRPr="00251615">
        <w:t xml:space="preserve"> en</w:t>
      </w:r>
      <w:r w:rsidRPr="0037366E">
        <w:t xml:space="preserve"> el día</w:t>
      </w:r>
      <w:r w:rsidR="006D7BA8">
        <w:t xml:space="preserve"> arriba señalado y</w:t>
      </w:r>
      <w:r w:rsidRPr="0037366E">
        <w:t xml:space="preserve"> </w:t>
      </w:r>
      <w:r w:rsidR="0038099D">
        <w:t xml:space="preserve">siendo las </w:t>
      </w:r>
      <w:r w:rsidR="006D7BA8">
        <w:t>19:22 horas</w:t>
      </w:r>
      <w:r w:rsidRPr="0037366E">
        <w:t>, y bajo el siguiente</w:t>
      </w:r>
    </w:p>
    <w:p w14:paraId="02C239E6" w14:textId="77777777" w:rsidR="00EE0E72" w:rsidRPr="0037366E" w:rsidRDefault="00EE0E72" w:rsidP="00EE0E72">
      <w:pPr>
        <w:spacing w:line="240" w:lineRule="auto"/>
        <w:contextualSpacing/>
      </w:pPr>
    </w:p>
    <w:p w14:paraId="121D9976" w14:textId="4A3DCE58" w:rsidR="0084705E" w:rsidRPr="0037366E" w:rsidRDefault="00FC03CA" w:rsidP="00AD35CD">
      <w:pPr>
        <w:spacing w:line="240" w:lineRule="auto"/>
        <w:contextualSpacing/>
        <w:jc w:val="center"/>
      </w:pPr>
      <w:r w:rsidRPr="0037366E">
        <w:rPr>
          <w:b/>
        </w:rPr>
        <w:t xml:space="preserve">Orden del </w:t>
      </w:r>
      <w:r w:rsidR="00B76DD0">
        <w:rPr>
          <w:b/>
        </w:rPr>
        <w:t>d</w:t>
      </w:r>
      <w:r w:rsidRPr="0037366E">
        <w:rPr>
          <w:b/>
        </w:rPr>
        <w:t>ía</w:t>
      </w:r>
      <w:r w:rsidR="0084705E" w:rsidRPr="0037366E">
        <w:t>:</w:t>
      </w:r>
    </w:p>
    <w:p w14:paraId="51CBCBC7" w14:textId="23424E03" w:rsidR="008C3766" w:rsidRDefault="008C3766" w:rsidP="008C3766">
      <w:pPr>
        <w:pStyle w:val="Prrafodelista"/>
        <w:numPr>
          <w:ilvl w:val="0"/>
          <w:numId w:val="2"/>
        </w:numPr>
        <w:spacing w:line="240" w:lineRule="auto"/>
        <w:ind w:left="1440"/>
        <w:jc w:val="both"/>
      </w:pPr>
      <w:r>
        <w:t>Registro de asistencia y declaratoria de qu</w:t>
      </w:r>
      <w:r w:rsidR="226A9B3E">
        <w:t>o</w:t>
      </w:r>
      <w:r>
        <w:t>rum</w:t>
      </w:r>
    </w:p>
    <w:p w14:paraId="1255837D" w14:textId="611A375E" w:rsidR="008C3766" w:rsidRDefault="008C3766" w:rsidP="008C3766">
      <w:pPr>
        <w:pStyle w:val="Prrafodelista"/>
        <w:numPr>
          <w:ilvl w:val="0"/>
          <w:numId w:val="2"/>
        </w:numPr>
        <w:spacing w:line="240" w:lineRule="auto"/>
        <w:ind w:left="1440"/>
        <w:jc w:val="both"/>
      </w:pPr>
      <w:r>
        <w:t xml:space="preserve">Aprobación del Orden del </w:t>
      </w:r>
      <w:r w:rsidR="17E49A21">
        <w:t>d</w:t>
      </w:r>
      <w:r>
        <w:t>ía</w:t>
      </w:r>
    </w:p>
    <w:p w14:paraId="75A1FEFD" w14:textId="318481EF" w:rsidR="008C3766" w:rsidRDefault="008C3766" w:rsidP="008C3766">
      <w:pPr>
        <w:pStyle w:val="Prrafodelista"/>
        <w:numPr>
          <w:ilvl w:val="0"/>
          <w:numId w:val="2"/>
        </w:numPr>
        <w:spacing w:line="240" w:lineRule="auto"/>
        <w:ind w:left="1440"/>
        <w:jc w:val="both"/>
      </w:pPr>
      <w:r>
        <w:t>Lectura y</w:t>
      </w:r>
      <w:r w:rsidR="0B9621D3">
        <w:t>,</w:t>
      </w:r>
      <w:r>
        <w:t xml:space="preserve"> en su caso, aprobación y firma del Acta de la Sesión celebrada el 4 de junio del 2019</w:t>
      </w:r>
    </w:p>
    <w:p w14:paraId="62C03308" w14:textId="5176D341" w:rsidR="008C3766" w:rsidRDefault="008C3766" w:rsidP="008C3766">
      <w:pPr>
        <w:pStyle w:val="Prrafodelista"/>
        <w:numPr>
          <w:ilvl w:val="0"/>
          <w:numId w:val="2"/>
        </w:numPr>
        <w:spacing w:line="240" w:lineRule="auto"/>
        <w:ind w:left="1440"/>
        <w:jc w:val="both"/>
      </w:pPr>
      <w:r>
        <w:t xml:space="preserve">Seguimiento de </w:t>
      </w:r>
      <w:r w:rsidR="7B701F6E">
        <w:t>a</w:t>
      </w:r>
      <w:r>
        <w:t>cuerdos</w:t>
      </w:r>
    </w:p>
    <w:p w14:paraId="0272B551" w14:textId="77777777" w:rsidR="008C3766" w:rsidRDefault="008C3766" w:rsidP="008C3766">
      <w:pPr>
        <w:pStyle w:val="Prrafodelista"/>
        <w:numPr>
          <w:ilvl w:val="0"/>
          <w:numId w:val="2"/>
        </w:numPr>
        <w:spacing w:line="240" w:lineRule="auto"/>
        <w:ind w:left="1440"/>
        <w:jc w:val="both"/>
      </w:pPr>
      <w:r>
        <w:t>Plan Institucional 2018-2022 de la Secretaría Ejecutiva</w:t>
      </w:r>
    </w:p>
    <w:p w14:paraId="05A29E20" w14:textId="43B3197F" w:rsidR="008C3766" w:rsidRDefault="008C3766" w:rsidP="008C3766">
      <w:pPr>
        <w:pStyle w:val="Prrafodelista"/>
        <w:numPr>
          <w:ilvl w:val="0"/>
          <w:numId w:val="2"/>
        </w:numPr>
        <w:spacing w:line="240" w:lineRule="auto"/>
        <w:ind w:left="1440"/>
        <w:jc w:val="both"/>
      </w:pPr>
      <w:r>
        <w:t xml:space="preserve">Informe de Actividades de la Secretaría Ejecutiva </w:t>
      </w:r>
      <w:r w:rsidR="06B38342">
        <w:t xml:space="preserve">de </w:t>
      </w:r>
      <w:r w:rsidR="30A9D17E">
        <w:t>a</w:t>
      </w:r>
      <w:r>
        <w:t>bril</w:t>
      </w:r>
      <w:r w:rsidR="13171BFD">
        <w:t xml:space="preserve"> a j</w:t>
      </w:r>
      <w:r>
        <w:t xml:space="preserve">unio de 2019 </w:t>
      </w:r>
    </w:p>
    <w:p w14:paraId="4A98DFDC" w14:textId="77777777" w:rsidR="008C3766" w:rsidRDefault="008C3766" w:rsidP="008C3766">
      <w:pPr>
        <w:pStyle w:val="Prrafodelista"/>
        <w:numPr>
          <w:ilvl w:val="0"/>
          <w:numId w:val="2"/>
        </w:numPr>
        <w:spacing w:line="240" w:lineRule="auto"/>
        <w:ind w:left="1440"/>
        <w:jc w:val="both"/>
      </w:pPr>
      <w:r>
        <w:t>Transferencias presupuestarias</w:t>
      </w:r>
    </w:p>
    <w:p w14:paraId="65D0C829" w14:textId="68C229EF" w:rsidR="008C3766" w:rsidRDefault="008C3766" w:rsidP="008C3766">
      <w:pPr>
        <w:pStyle w:val="Prrafodelista"/>
        <w:numPr>
          <w:ilvl w:val="0"/>
          <w:numId w:val="2"/>
        </w:numPr>
        <w:spacing w:line="240" w:lineRule="auto"/>
        <w:ind w:left="1440"/>
        <w:jc w:val="both"/>
      </w:pPr>
      <w:r>
        <w:t xml:space="preserve">Anteproyecto de </w:t>
      </w:r>
      <w:r w:rsidR="1E8015E5">
        <w:t>P</w:t>
      </w:r>
      <w:r>
        <w:t>resupuesto 2020</w:t>
      </w:r>
    </w:p>
    <w:p w14:paraId="159BC83B" w14:textId="6D2CAB42" w:rsidR="008C3766" w:rsidRDefault="008C3766" w:rsidP="008C3766">
      <w:pPr>
        <w:pStyle w:val="Prrafodelista"/>
        <w:numPr>
          <w:ilvl w:val="0"/>
          <w:numId w:val="2"/>
        </w:numPr>
        <w:spacing w:line="240" w:lineRule="auto"/>
        <w:ind w:left="1440"/>
        <w:jc w:val="both"/>
      </w:pPr>
      <w:r>
        <w:t xml:space="preserve">Asuntos </w:t>
      </w:r>
      <w:r w:rsidR="68B182F0">
        <w:t>g</w:t>
      </w:r>
      <w:r>
        <w:t>enerales</w:t>
      </w:r>
    </w:p>
    <w:p w14:paraId="145D322A" w14:textId="77777777" w:rsidR="008C3766" w:rsidRDefault="008C3766" w:rsidP="008C3766">
      <w:pPr>
        <w:pStyle w:val="Prrafodelista"/>
        <w:numPr>
          <w:ilvl w:val="0"/>
          <w:numId w:val="2"/>
        </w:numPr>
        <w:spacing w:line="240" w:lineRule="auto"/>
        <w:ind w:left="1440"/>
        <w:jc w:val="both"/>
      </w:pPr>
      <w:r>
        <w:t>Acuerdos</w:t>
      </w:r>
      <w:r w:rsidRPr="00DD5048">
        <w:t xml:space="preserve"> </w:t>
      </w:r>
    </w:p>
    <w:p w14:paraId="565A279C" w14:textId="765BCD21" w:rsidR="008C3766" w:rsidRDefault="008C3766" w:rsidP="008C3766">
      <w:pPr>
        <w:pStyle w:val="Prrafodelista"/>
        <w:numPr>
          <w:ilvl w:val="0"/>
          <w:numId w:val="2"/>
        </w:numPr>
        <w:spacing w:line="240" w:lineRule="auto"/>
        <w:ind w:left="1440"/>
        <w:jc w:val="both"/>
      </w:pPr>
      <w:r>
        <w:t xml:space="preserve">Clausura de la </w:t>
      </w:r>
      <w:r w:rsidR="6FD85E5F">
        <w:t>s</w:t>
      </w:r>
      <w:r>
        <w:t>esión</w:t>
      </w:r>
    </w:p>
    <w:p w14:paraId="4456131F" w14:textId="77777777" w:rsidR="00E755C7" w:rsidRDefault="00E755C7" w:rsidP="00E755C7">
      <w:pPr>
        <w:pStyle w:val="Prrafodelista"/>
        <w:spacing w:line="240" w:lineRule="auto"/>
        <w:ind w:left="1068"/>
      </w:pPr>
    </w:p>
    <w:p w14:paraId="35286953" w14:textId="77777777" w:rsidR="00B0061F" w:rsidRPr="00F10237" w:rsidRDefault="00B0061F" w:rsidP="00E755C7">
      <w:pPr>
        <w:pStyle w:val="Prrafodelista"/>
        <w:spacing w:line="240" w:lineRule="auto"/>
        <w:ind w:left="1068"/>
      </w:pPr>
    </w:p>
    <w:p w14:paraId="6A5D5F8E" w14:textId="2C769A72" w:rsidR="0084705E" w:rsidRPr="0037366E" w:rsidRDefault="00EE39F7" w:rsidP="44F2C78C">
      <w:pPr>
        <w:pStyle w:val="Prrafodelista"/>
        <w:numPr>
          <w:ilvl w:val="0"/>
          <w:numId w:val="1"/>
        </w:numPr>
        <w:spacing w:line="240" w:lineRule="auto"/>
        <w:rPr>
          <w:b/>
          <w:bCs/>
        </w:rPr>
      </w:pPr>
      <w:r w:rsidRPr="44F2C78C">
        <w:rPr>
          <w:b/>
          <w:bCs/>
        </w:rPr>
        <w:t>Registro de asis</w:t>
      </w:r>
      <w:r w:rsidR="008C05BC" w:rsidRPr="44F2C78C">
        <w:rPr>
          <w:b/>
          <w:bCs/>
        </w:rPr>
        <w:t xml:space="preserve">tencia y declaratoria de </w:t>
      </w:r>
      <w:r w:rsidR="008C05BC" w:rsidRPr="44F2C78C">
        <w:rPr>
          <w:b/>
          <w:bCs/>
          <w:i/>
          <w:iCs/>
        </w:rPr>
        <w:t>qu</w:t>
      </w:r>
      <w:r w:rsidR="1AA9A037" w:rsidRPr="44F2C78C">
        <w:rPr>
          <w:b/>
          <w:bCs/>
          <w:i/>
          <w:iCs/>
        </w:rPr>
        <w:t>o</w:t>
      </w:r>
      <w:r w:rsidR="008C05BC" w:rsidRPr="44F2C78C">
        <w:rPr>
          <w:b/>
          <w:bCs/>
          <w:i/>
          <w:iCs/>
        </w:rPr>
        <w:t>rum</w:t>
      </w:r>
    </w:p>
    <w:p w14:paraId="1B27B297" w14:textId="490A54E7" w:rsidR="00CA13E9" w:rsidRDefault="0084705E" w:rsidP="0084705E">
      <w:pPr>
        <w:spacing w:line="240" w:lineRule="auto"/>
        <w:contextualSpacing/>
        <w:jc w:val="both"/>
      </w:pPr>
      <w:r>
        <w:t xml:space="preserve">El </w:t>
      </w:r>
      <w:proofErr w:type="gramStart"/>
      <w:r w:rsidR="00B8302F">
        <w:t>Presidente</w:t>
      </w:r>
      <w:proofErr w:type="gramEnd"/>
      <w:r w:rsidR="00B8302F">
        <w:t xml:space="preserve"> del Órgano de Gobierno</w:t>
      </w:r>
      <w:r w:rsidR="00E70A42">
        <w:t xml:space="preserve"> </w:t>
      </w:r>
      <w:r w:rsidR="004758DB">
        <w:t>solicita</w:t>
      </w:r>
      <w:r w:rsidR="00B46811">
        <w:t xml:space="preserve"> </w:t>
      </w:r>
      <w:r w:rsidR="008A42D2">
        <w:t xml:space="preserve">a la Secretaria Técnica </w:t>
      </w:r>
      <w:r w:rsidR="00B8302F">
        <w:t>que verifique</w:t>
      </w:r>
      <w:r w:rsidR="00FE310A">
        <w:t xml:space="preserve"> la asistencia de los integrantes de</w:t>
      </w:r>
      <w:r w:rsidR="00B8302F">
        <w:t>l Órgano de Gobierno e informe si hay</w:t>
      </w:r>
      <w:r w:rsidR="00FE310A">
        <w:t xml:space="preserve"> </w:t>
      </w:r>
      <w:r w:rsidR="00685767">
        <w:t xml:space="preserve">el </w:t>
      </w:r>
      <w:r w:rsidR="00FE310A" w:rsidRPr="00A65D0D">
        <w:rPr>
          <w:iCs/>
        </w:rPr>
        <w:t>qu</w:t>
      </w:r>
      <w:r w:rsidR="54D123CB" w:rsidRPr="00A65D0D">
        <w:rPr>
          <w:iCs/>
        </w:rPr>
        <w:t>o</w:t>
      </w:r>
      <w:r w:rsidR="00FE310A" w:rsidRPr="00A65D0D">
        <w:rPr>
          <w:iCs/>
        </w:rPr>
        <w:t>rum</w:t>
      </w:r>
      <w:r w:rsidR="00FE310A" w:rsidRPr="44F2C78C">
        <w:rPr>
          <w:i/>
          <w:iCs/>
        </w:rPr>
        <w:t xml:space="preserve"> </w:t>
      </w:r>
      <w:r w:rsidR="00FE310A">
        <w:t>necesar</w:t>
      </w:r>
      <w:r w:rsidR="001C289B">
        <w:t xml:space="preserve">io para dar inicio a la </w:t>
      </w:r>
      <w:r w:rsidR="00384D85">
        <w:t>s</w:t>
      </w:r>
      <w:r w:rsidR="00FE310A">
        <w:t>esión</w:t>
      </w:r>
      <w:r w:rsidR="00BA4148">
        <w:t>.</w:t>
      </w:r>
      <w:r w:rsidR="004758DB">
        <w:t xml:space="preserve"> </w:t>
      </w:r>
      <w:r w:rsidR="00BA4148">
        <w:t xml:space="preserve">La Secretaria </w:t>
      </w:r>
      <w:r w:rsidR="00384D85">
        <w:t>Técnica</w:t>
      </w:r>
      <w:r w:rsidR="00BA4148">
        <w:t xml:space="preserve"> </w:t>
      </w:r>
      <w:r w:rsidR="00384D85">
        <w:t>manifiesta</w:t>
      </w:r>
      <w:r w:rsidR="00BA4148">
        <w:t xml:space="preserve"> que</w:t>
      </w:r>
      <w:r w:rsidR="00B03CFF">
        <w:t xml:space="preserve"> </w:t>
      </w:r>
      <w:r w:rsidR="00B8302F">
        <w:t>hay</w:t>
      </w:r>
      <w:r w:rsidR="00F53B29">
        <w:t xml:space="preserve"> qu</w:t>
      </w:r>
      <w:r w:rsidR="75010B05">
        <w:t>o</w:t>
      </w:r>
      <w:r w:rsidR="00F53B29">
        <w:t>rum</w:t>
      </w:r>
      <w:r w:rsidR="00384D85" w:rsidRPr="44F2C78C">
        <w:rPr>
          <w:i/>
          <w:iCs/>
        </w:rPr>
        <w:t>,</w:t>
      </w:r>
      <w:r w:rsidR="00F53B29">
        <w:t xml:space="preserve"> ya que se encuentran</w:t>
      </w:r>
      <w:r w:rsidR="001C289B">
        <w:t xml:space="preserve"> presentes</w:t>
      </w:r>
      <w:r w:rsidR="005B2C72">
        <w:t xml:space="preserve"> </w:t>
      </w:r>
      <w:r w:rsidR="00865E0F">
        <w:t>la totalidad</w:t>
      </w:r>
      <w:r w:rsidR="009D1F03">
        <w:t xml:space="preserve"> </w:t>
      </w:r>
      <w:r w:rsidR="002E37E1">
        <w:t>de los</w:t>
      </w:r>
      <w:r w:rsidR="009D1F03">
        <w:t xml:space="preserve"> </w:t>
      </w:r>
      <w:r w:rsidR="00BA4148">
        <w:t>int</w:t>
      </w:r>
      <w:r w:rsidR="00FE310A">
        <w:t>egrantes del Órgano de Gobierno</w:t>
      </w:r>
      <w:r w:rsidR="00AC342C">
        <w:t>.</w:t>
      </w:r>
    </w:p>
    <w:p w14:paraId="5CFB02D3" w14:textId="77777777" w:rsidR="007D46AC" w:rsidRPr="0037366E" w:rsidRDefault="007D46AC" w:rsidP="0084705E">
      <w:pPr>
        <w:spacing w:line="240" w:lineRule="auto"/>
        <w:contextualSpacing/>
        <w:jc w:val="both"/>
      </w:pPr>
    </w:p>
    <w:p w14:paraId="24A84CCB" w14:textId="77777777" w:rsidR="007D46AC" w:rsidRDefault="00B45F65" w:rsidP="00B556AD">
      <w:pPr>
        <w:pStyle w:val="Prrafodelista"/>
        <w:numPr>
          <w:ilvl w:val="0"/>
          <w:numId w:val="1"/>
        </w:numPr>
        <w:rPr>
          <w:b/>
        </w:rPr>
      </w:pPr>
      <w:r w:rsidRPr="00B45F65">
        <w:rPr>
          <w:b/>
        </w:rPr>
        <w:t xml:space="preserve">Aprobación del Orden del </w:t>
      </w:r>
      <w:r w:rsidR="00384D85">
        <w:rPr>
          <w:b/>
        </w:rPr>
        <w:t>d</w:t>
      </w:r>
      <w:r w:rsidRPr="00B45F65">
        <w:rPr>
          <w:b/>
        </w:rPr>
        <w:t>ía</w:t>
      </w:r>
    </w:p>
    <w:p w14:paraId="6796D00D" w14:textId="791CE8FE" w:rsidR="007D46AC" w:rsidRPr="007D46AC" w:rsidRDefault="0007465B" w:rsidP="44F2C78C">
      <w:pPr>
        <w:jc w:val="both"/>
        <w:rPr>
          <w:b/>
          <w:bCs/>
        </w:rPr>
      </w:pPr>
      <w:r>
        <w:t xml:space="preserve">El </w:t>
      </w:r>
      <w:proofErr w:type="gramStart"/>
      <w:r w:rsidR="00E70A42">
        <w:t>Presidente</w:t>
      </w:r>
      <w:proofErr w:type="gramEnd"/>
      <w:r w:rsidR="00E70A42">
        <w:t xml:space="preserve"> del Órgano de Gobierno</w:t>
      </w:r>
      <w:r>
        <w:t xml:space="preserve"> </w:t>
      </w:r>
      <w:r w:rsidR="0084705E">
        <w:t>solicit</w:t>
      </w:r>
      <w:r w:rsidR="00384D85">
        <w:t>a</w:t>
      </w:r>
      <w:r w:rsidR="0013044E">
        <w:t xml:space="preserve"> a</w:t>
      </w:r>
      <w:r w:rsidR="0084705E">
        <w:t xml:space="preserve"> la </w:t>
      </w:r>
      <w:r w:rsidR="00AE3140">
        <w:t>Secretaria Técnica</w:t>
      </w:r>
      <w:r>
        <w:t xml:space="preserve"> la</w:t>
      </w:r>
      <w:r w:rsidR="007D46AC">
        <w:t xml:space="preserve"> </w:t>
      </w:r>
      <w:r w:rsidR="0084705E">
        <w:t xml:space="preserve">presentación del </w:t>
      </w:r>
      <w:r w:rsidR="00FC03CA">
        <w:t xml:space="preserve">Orden del </w:t>
      </w:r>
      <w:r w:rsidR="00384D85">
        <w:t>d</w:t>
      </w:r>
      <w:r w:rsidR="00FC03CA">
        <w:t>ía</w:t>
      </w:r>
      <w:r w:rsidR="0084705E">
        <w:t>.</w:t>
      </w:r>
      <w:r w:rsidR="007D46AC" w:rsidRPr="44F2C78C">
        <w:rPr>
          <w:b/>
          <w:bCs/>
        </w:rPr>
        <w:t xml:space="preserve"> </w:t>
      </w:r>
      <w:r w:rsidR="00DD0D8E">
        <w:t xml:space="preserve">La Secretaria </w:t>
      </w:r>
      <w:r w:rsidR="00384D85">
        <w:t>Técnica</w:t>
      </w:r>
      <w:r w:rsidR="00DD0D8E">
        <w:t xml:space="preserve"> </w:t>
      </w:r>
      <w:r w:rsidR="00EF62B5">
        <w:t xml:space="preserve">le </w:t>
      </w:r>
      <w:r w:rsidR="007D46AC">
        <w:t>da lectura</w:t>
      </w:r>
      <w:r w:rsidR="00EF62B5">
        <w:t>; e</w:t>
      </w:r>
      <w:r w:rsidR="007D46AC">
        <w:t xml:space="preserve">l </w:t>
      </w:r>
      <w:proofErr w:type="gramStart"/>
      <w:r w:rsidR="007D46AC">
        <w:t>Presidente</w:t>
      </w:r>
      <w:proofErr w:type="gramEnd"/>
      <w:r w:rsidR="007D46AC">
        <w:t xml:space="preserve"> </w:t>
      </w:r>
      <w:r w:rsidR="00EF62B5">
        <w:t xml:space="preserve">lo </w:t>
      </w:r>
      <w:r w:rsidR="007D46AC">
        <w:t xml:space="preserve">somete a </w:t>
      </w:r>
      <w:r w:rsidR="007D46AC">
        <w:lastRenderedPageBreak/>
        <w:t xml:space="preserve">aprobación de los integrantes del Órgano de Gobierno y es aprobado con votación expresa. </w:t>
      </w:r>
    </w:p>
    <w:p w14:paraId="1FB8676E" w14:textId="73A8EF86" w:rsidR="007D46AC" w:rsidRPr="002E37E1" w:rsidRDefault="007D46AC" w:rsidP="44F2C78C">
      <w:pPr>
        <w:pStyle w:val="Prrafodelista"/>
        <w:numPr>
          <w:ilvl w:val="0"/>
          <w:numId w:val="1"/>
        </w:numPr>
        <w:rPr>
          <w:b/>
          <w:bCs/>
        </w:rPr>
      </w:pPr>
      <w:r w:rsidRPr="44F2C78C">
        <w:rPr>
          <w:b/>
          <w:bCs/>
        </w:rPr>
        <w:t>Lectura y</w:t>
      </w:r>
      <w:r w:rsidR="00EF62B5" w:rsidRPr="44F2C78C">
        <w:rPr>
          <w:b/>
          <w:bCs/>
        </w:rPr>
        <w:t>,</w:t>
      </w:r>
      <w:r w:rsidRPr="44F2C78C">
        <w:rPr>
          <w:b/>
          <w:bCs/>
        </w:rPr>
        <w:t xml:space="preserve"> en su caso, </w:t>
      </w:r>
      <w:r w:rsidR="002E37E1" w:rsidRPr="44F2C78C">
        <w:rPr>
          <w:b/>
          <w:bCs/>
        </w:rPr>
        <w:t xml:space="preserve">aprobación y firma del Acta de la </w:t>
      </w:r>
      <w:r w:rsidR="6629F654" w:rsidRPr="44F2C78C">
        <w:rPr>
          <w:b/>
          <w:bCs/>
        </w:rPr>
        <w:t>s</w:t>
      </w:r>
      <w:r w:rsidR="002E37E1" w:rsidRPr="44F2C78C">
        <w:rPr>
          <w:b/>
          <w:bCs/>
        </w:rPr>
        <w:t>esión celebrada el 4 de junio del 2019</w:t>
      </w:r>
    </w:p>
    <w:p w14:paraId="00649F3C" w14:textId="4551FC57" w:rsidR="004B408D" w:rsidRDefault="00EE2BF7" w:rsidP="0084705E">
      <w:pPr>
        <w:spacing w:line="240" w:lineRule="auto"/>
        <w:contextualSpacing/>
        <w:jc w:val="both"/>
      </w:pPr>
      <w:r>
        <w:t>La Secretaria Técnica indica que el acta de referencia fue enviada con anterioridad para su revisión</w:t>
      </w:r>
      <w:r w:rsidR="00B503DF">
        <w:t xml:space="preserve">, y que no fueron recibidos comentarios, por lo que somete a consideración la aprobación </w:t>
      </w:r>
      <w:r w:rsidR="00714A4F">
        <w:t xml:space="preserve">de dicha acta. </w:t>
      </w:r>
    </w:p>
    <w:p w14:paraId="2F3D8415" w14:textId="77777777" w:rsidR="007D46AC" w:rsidRDefault="007D46AC" w:rsidP="0084705E">
      <w:pPr>
        <w:spacing w:line="240" w:lineRule="auto"/>
        <w:contextualSpacing/>
        <w:jc w:val="both"/>
      </w:pPr>
    </w:p>
    <w:p w14:paraId="6600F7D0" w14:textId="6551EEF5" w:rsidR="007D46AC" w:rsidRDefault="00714A4F" w:rsidP="0084705E">
      <w:pPr>
        <w:spacing w:line="240" w:lineRule="auto"/>
        <w:contextualSpacing/>
        <w:jc w:val="both"/>
      </w:pPr>
      <w:r>
        <w:t xml:space="preserve">El </w:t>
      </w:r>
      <w:proofErr w:type="gramStart"/>
      <w:r>
        <w:t>Presidente</w:t>
      </w:r>
      <w:proofErr w:type="gramEnd"/>
      <w:r>
        <w:t xml:space="preserve"> del Órgano de Gobierno </w:t>
      </w:r>
      <w:r w:rsidR="0017562B">
        <w:t>solicit</w:t>
      </w:r>
      <w:r w:rsidR="37DC5F8D">
        <w:t>a</w:t>
      </w:r>
      <w:r w:rsidR="0017562B">
        <w:t xml:space="preserve"> la votación expresa</w:t>
      </w:r>
      <w:r w:rsidR="20FC3349">
        <w:t>;</w:t>
      </w:r>
      <w:r w:rsidR="0017562B">
        <w:t xml:space="preserve"> </w:t>
      </w:r>
      <w:r w:rsidR="7149248F">
        <w:t xml:space="preserve">es </w:t>
      </w:r>
      <w:r w:rsidR="007D0F90">
        <w:t xml:space="preserve">aprobada el acta de la sesión celebrada el 4 de junio del 2019, </w:t>
      </w:r>
      <w:r w:rsidR="007D46AC">
        <w:t xml:space="preserve">y se procede a recabar las firmas correspondientes. </w:t>
      </w:r>
    </w:p>
    <w:p w14:paraId="4E2FDB26" w14:textId="77777777" w:rsidR="007B575B" w:rsidRPr="0037366E" w:rsidRDefault="00207930" w:rsidP="00BE6F68">
      <w:pPr>
        <w:spacing w:line="240" w:lineRule="auto"/>
        <w:contextualSpacing/>
        <w:jc w:val="both"/>
      </w:pPr>
      <w:r>
        <w:t xml:space="preserve"> </w:t>
      </w:r>
      <w:r w:rsidR="007B575B">
        <w:t xml:space="preserve"> </w:t>
      </w:r>
    </w:p>
    <w:p w14:paraId="1CF732EC" w14:textId="77777777" w:rsidR="00A76BE7" w:rsidRPr="00A76BE7" w:rsidRDefault="00A76BE7" w:rsidP="00B556AD">
      <w:pPr>
        <w:pStyle w:val="Prrafodelista"/>
        <w:numPr>
          <w:ilvl w:val="0"/>
          <w:numId w:val="1"/>
        </w:numPr>
        <w:spacing w:line="240" w:lineRule="auto"/>
        <w:jc w:val="both"/>
        <w:rPr>
          <w:b/>
          <w:bCs/>
        </w:rPr>
      </w:pPr>
      <w:r w:rsidRPr="00A76BE7">
        <w:rPr>
          <w:b/>
          <w:bCs/>
        </w:rPr>
        <w:t xml:space="preserve">Seguimiento de </w:t>
      </w:r>
      <w:r w:rsidR="00EF62B5">
        <w:rPr>
          <w:b/>
          <w:bCs/>
        </w:rPr>
        <w:t>a</w:t>
      </w:r>
      <w:r w:rsidRPr="00A76BE7">
        <w:rPr>
          <w:b/>
          <w:bCs/>
        </w:rPr>
        <w:t>cuerdos</w:t>
      </w:r>
    </w:p>
    <w:p w14:paraId="526953B6" w14:textId="4ECB1223" w:rsidR="00F517AB" w:rsidRDefault="00A76BE7" w:rsidP="00A76BE7">
      <w:pPr>
        <w:spacing w:line="240" w:lineRule="auto"/>
        <w:jc w:val="both"/>
        <w:rPr>
          <w:bCs/>
        </w:rPr>
      </w:pPr>
      <w:r>
        <w:rPr>
          <w:bCs/>
        </w:rPr>
        <w:t xml:space="preserve">El Presidente del Órgano de Gobierno cede el uso de la voz para </w:t>
      </w:r>
      <w:r w:rsidR="00A66AA4">
        <w:rPr>
          <w:bCs/>
        </w:rPr>
        <w:t xml:space="preserve">dar lectura </w:t>
      </w:r>
      <w:proofErr w:type="gramStart"/>
      <w:r w:rsidR="00A66AA4">
        <w:rPr>
          <w:bCs/>
        </w:rPr>
        <w:t>al</w:t>
      </w:r>
      <w:r>
        <w:rPr>
          <w:bCs/>
        </w:rPr>
        <w:t xml:space="preserve">  seguimiento</w:t>
      </w:r>
      <w:proofErr w:type="gramEnd"/>
      <w:r>
        <w:rPr>
          <w:bCs/>
        </w:rPr>
        <w:t xml:space="preserve"> de acuerdos. </w:t>
      </w:r>
      <w:r w:rsidR="00F517AB">
        <w:rPr>
          <w:bCs/>
        </w:rPr>
        <w:t xml:space="preserve">La Secretaria Técnica señala que el documento les fue enviado con anticipación: </w:t>
      </w:r>
    </w:p>
    <w:tbl>
      <w:tblPr>
        <w:tblStyle w:val="Tablaconcuadrcula"/>
        <w:tblW w:w="0" w:type="auto"/>
        <w:tblLook w:val="04A0" w:firstRow="1" w:lastRow="0" w:firstColumn="1" w:lastColumn="0" w:noHBand="0" w:noVBand="1"/>
      </w:tblPr>
      <w:tblGrid>
        <w:gridCol w:w="1386"/>
        <w:gridCol w:w="1705"/>
        <w:gridCol w:w="3292"/>
        <w:gridCol w:w="2728"/>
      </w:tblGrid>
      <w:tr w:rsidR="00C83808" w:rsidRPr="00EB7AE0" w14:paraId="610C77C7" w14:textId="77777777" w:rsidTr="00635E2D">
        <w:tc>
          <w:tcPr>
            <w:tcW w:w="1386" w:type="dxa"/>
            <w:shd w:val="clear" w:color="auto" w:fill="9CC2E5" w:themeFill="accent1" w:themeFillTint="99"/>
          </w:tcPr>
          <w:p w14:paraId="5DC7F236" w14:textId="77777777" w:rsidR="00C83808" w:rsidRPr="00EB7AE0" w:rsidRDefault="00C83808" w:rsidP="00C527C9">
            <w:pPr>
              <w:contextualSpacing/>
              <w:jc w:val="center"/>
              <w:rPr>
                <w:sz w:val="19"/>
                <w:szCs w:val="19"/>
              </w:rPr>
            </w:pPr>
            <w:r>
              <w:rPr>
                <w:sz w:val="19"/>
                <w:szCs w:val="19"/>
              </w:rPr>
              <w:t>Año</w:t>
            </w:r>
          </w:p>
        </w:tc>
        <w:tc>
          <w:tcPr>
            <w:tcW w:w="1705" w:type="dxa"/>
            <w:shd w:val="clear" w:color="auto" w:fill="9CC2E5" w:themeFill="accent1" w:themeFillTint="99"/>
          </w:tcPr>
          <w:p w14:paraId="5AA3D922" w14:textId="45C965A4" w:rsidR="00C83808" w:rsidRPr="00EB7AE0" w:rsidRDefault="339B3DCF" w:rsidP="44F2C78C">
            <w:pPr>
              <w:contextualSpacing/>
              <w:jc w:val="center"/>
              <w:rPr>
                <w:sz w:val="19"/>
                <w:szCs w:val="19"/>
              </w:rPr>
            </w:pPr>
            <w:r w:rsidRPr="44F2C78C">
              <w:rPr>
                <w:sz w:val="19"/>
                <w:szCs w:val="19"/>
              </w:rPr>
              <w:t xml:space="preserve">Número y fecha del </w:t>
            </w:r>
            <w:r w:rsidR="7737A9DD" w:rsidRPr="44F2C78C">
              <w:rPr>
                <w:sz w:val="19"/>
                <w:szCs w:val="19"/>
              </w:rPr>
              <w:t>a</w:t>
            </w:r>
            <w:r w:rsidRPr="44F2C78C">
              <w:rPr>
                <w:sz w:val="19"/>
                <w:szCs w:val="19"/>
              </w:rPr>
              <w:t>cuerdo</w:t>
            </w:r>
          </w:p>
        </w:tc>
        <w:tc>
          <w:tcPr>
            <w:tcW w:w="3292" w:type="dxa"/>
            <w:shd w:val="clear" w:color="auto" w:fill="9CC2E5" w:themeFill="accent1" w:themeFillTint="99"/>
          </w:tcPr>
          <w:p w14:paraId="5ACDCD2F" w14:textId="77777777" w:rsidR="00C83808" w:rsidRPr="00EB7AE0" w:rsidRDefault="00C83808" w:rsidP="00C527C9">
            <w:pPr>
              <w:contextualSpacing/>
              <w:jc w:val="center"/>
              <w:rPr>
                <w:sz w:val="19"/>
                <w:szCs w:val="19"/>
              </w:rPr>
            </w:pPr>
            <w:r w:rsidRPr="00EB7AE0">
              <w:rPr>
                <w:sz w:val="19"/>
                <w:szCs w:val="19"/>
              </w:rPr>
              <w:t>Asunto</w:t>
            </w:r>
          </w:p>
        </w:tc>
        <w:tc>
          <w:tcPr>
            <w:tcW w:w="2728" w:type="dxa"/>
            <w:shd w:val="clear" w:color="auto" w:fill="9CC2E5" w:themeFill="accent1" w:themeFillTint="99"/>
          </w:tcPr>
          <w:p w14:paraId="24456A21" w14:textId="77777777" w:rsidR="00C83808" w:rsidRPr="00EB7AE0" w:rsidRDefault="00C83808" w:rsidP="00C527C9">
            <w:pPr>
              <w:contextualSpacing/>
              <w:jc w:val="center"/>
              <w:rPr>
                <w:sz w:val="19"/>
                <w:szCs w:val="19"/>
              </w:rPr>
            </w:pPr>
            <w:r w:rsidRPr="00EB7AE0">
              <w:rPr>
                <w:sz w:val="19"/>
                <w:szCs w:val="19"/>
              </w:rPr>
              <w:t>Estado</w:t>
            </w:r>
          </w:p>
          <w:p w14:paraId="1605369A" w14:textId="77777777" w:rsidR="00C83808" w:rsidRPr="00EB7AE0" w:rsidRDefault="00C83808" w:rsidP="00C527C9">
            <w:pPr>
              <w:contextualSpacing/>
              <w:jc w:val="center"/>
              <w:rPr>
                <w:sz w:val="19"/>
                <w:szCs w:val="19"/>
              </w:rPr>
            </w:pPr>
            <w:r w:rsidRPr="00EB7AE0">
              <w:rPr>
                <w:sz w:val="19"/>
                <w:szCs w:val="19"/>
              </w:rPr>
              <w:t>(en proceso, concluido, otro)</w:t>
            </w:r>
          </w:p>
        </w:tc>
      </w:tr>
      <w:tr w:rsidR="00C83808" w:rsidRPr="00EB7AE0" w14:paraId="7B227235" w14:textId="77777777" w:rsidTr="00635E2D">
        <w:tc>
          <w:tcPr>
            <w:tcW w:w="1386" w:type="dxa"/>
            <w:vMerge w:val="restart"/>
          </w:tcPr>
          <w:p w14:paraId="365BF239" w14:textId="77777777" w:rsidR="00C83808" w:rsidRDefault="00C83808" w:rsidP="00C527C9">
            <w:pPr>
              <w:pStyle w:val="TableParagraph"/>
              <w:ind w:left="0"/>
              <w:rPr>
                <w:sz w:val="19"/>
              </w:rPr>
            </w:pPr>
          </w:p>
          <w:p w14:paraId="006841E3" w14:textId="77777777" w:rsidR="00C83808" w:rsidRDefault="00C83808" w:rsidP="00C527C9">
            <w:pPr>
              <w:pStyle w:val="TableParagraph"/>
              <w:ind w:left="0"/>
              <w:rPr>
                <w:sz w:val="19"/>
              </w:rPr>
            </w:pPr>
          </w:p>
          <w:p w14:paraId="3AB45863" w14:textId="77777777" w:rsidR="00C83808" w:rsidRDefault="00C83808" w:rsidP="00C527C9">
            <w:pPr>
              <w:pStyle w:val="TableParagraph"/>
              <w:ind w:left="0"/>
              <w:rPr>
                <w:sz w:val="19"/>
              </w:rPr>
            </w:pPr>
          </w:p>
          <w:p w14:paraId="33AFAD47" w14:textId="77777777" w:rsidR="00C83808" w:rsidRDefault="00C83808" w:rsidP="00C527C9">
            <w:pPr>
              <w:pStyle w:val="TableParagraph"/>
              <w:ind w:left="0"/>
              <w:rPr>
                <w:sz w:val="19"/>
              </w:rPr>
            </w:pPr>
          </w:p>
          <w:p w14:paraId="75974073" w14:textId="77777777" w:rsidR="00C83808" w:rsidRDefault="00C83808" w:rsidP="00C527C9">
            <w:pPr>
              <w:pStyle w:val="TableParagraph"/>
              <w:ind w:left="0"/>
              <w:rPr>
                <w:sz w:val="19"/>
              </w:rPr>
            </w:pPr>
          </w:p>
          <w:p w14:paraId="46907CCE" w14:textId="77777777" w:rsidR="00C83808" w:rsidRDefault="00C83808" w:rsidP="00C527C9">
            <w:pPr>
              <w:pStyle w:val="TableParagraph"/>
              <w:ind w:left="0"/>
              <w:rPr>
                <w:sz w:val="19"/>
              </w:rPr>
            </w:pPr>
          </w:p>
          <w:p w14:paraId="3010BC96" w14:textId="77777777" w:rsidR="00C83808" w:rsidRDefault="00C83808" w:rsidP="00C527C9">
            <w:pPr>
              <w:pStyle w:val="TableParagraph"/>
              <w:ind w:left="0"/>
              <w:rPr>
                <w:sz w:val="19"/>
              </w:rPr>
            </w:pPr>
          </w:p>
          <w:p w14:paraId="0D1F807D" w14:textId="77777777" w:rsidR="00C83808" w:rsidRDefault="00C83808" w:rsidP="00C527C9">
            <w:pPr>
              <w:pStyle w:val="TableParagraph"/>
              <w:ind w:left="0"/>
              <w:rPr>
                <w:sz w:val="19"/>
              </w:rPr>
            </w:pPr>
          </w:p>
          <w:p w14:paraId="0C910585" w14:textId="77777777" w:rsidR="00C83808" w:rsidRPr="00B11DEC" w:rsidRDefault="00C83808" w:rsidP="00C527C9">
            <w:pPr>
              <w:pStyle w:val="TableParagraph"/>
              <w:ind w:left="0"/>
              <w:jc w:val="center"/>
              <w:rPr>
                <w:b/>
                <w:sz w:val="19"/>
              </w:rPr>
            </w:pPr>
            <w:r w:rsidRPr="00B11DEC">
              <w:rPr>
                <w:b/>
                <w:sz w:val="36"/>
              </w:rPr>
              <w:t>2018</w:t>
            </w:r>
          </w:p>
        </w:tc>
        <w:tc>
          <w:tcPr>
            <w:tcW w:w="1705" w:type="dxa"/>
          </w:tcPr>
          <w:p w14:paraId="328D6515" w14:textId="170AD9C8" w:rsidR="00C83808" w:rsidRDefault="339B3DCF" w:rsidP="44F2C78C">
            <w:pPr>
              <w:pStyle w:val="TableParagraph"/>
              <w:ind w:left="0"/>
              <w:rPr>
                <w:sz w:val="19"/>
                <w:szCs w:val="19"/>
              </w:rPr>
            </w:pPr>
            <w:r w:rsidRPr="44F2C78C">
              <w:rPr>
                <w:sz w:val="19"/>
                <w:szCs w:val="19"/>
              </w:rPr>
              <w:t xml:space="preserve">A.OG.2018.22 del </w:t>
            </w:r>
          </w:p>
          <w:p w14:paraId="756B9F15" w14:textId="0E0CF35C" w:rsidR="00C83808" w:rsidRPr="00EB7AE0" w:rsidRDefault="339B3DCF" w:rsidP="44F2C78C">
            <w:pPr>
              <w:contextualSpacing/>
              <w:rPr>
                <w:sz w:val="19"/>
                <w:szCs w:val="19"/>
              </w:rPr>
            </w:pPr>
            <w:r w:rsidRPr="44F2C78C">
              <w:rPr>
                <w:sz w:val="19"/>
                <w:szCs w:val="19"/>
              </w:rPr>
              <w:t>9 de octubre de 2018</w:t>
            </w:r>
          </w:p>
        </w:tc>
        <w:tc>
          <w:tcPr>
            <w:tcW w:w="3292" w:type="dxa"/>
          </w:tcPr>
          <w:p w14:paraId="3CC2DB45" w14:textId="4610D846" w:rsidR="00C83808" w:rsidRPr="00C83808" w:rsidRDefault="339B3DCF" w:rsidP="44F2C78C">
            <w:pPr>
              <w:contextualSpacing/>
              <w:jc w:val="both"/>
              <w:rPr>
                <w:sz w:val="19"/>
                <w:szCs w:val="19"/>
              </w:rPr>
            </w:pPr>
            <w:r w:rsidRPr="44F2C78C">
              <w:rPr>
                <w:sz w:val="19"/>
                <w:szCs w:val="19"/>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2728" w:type="dxa"/>
          </w:tcPr>
          <w:p w14:paraId="1A62BC9C" w14:textId="77777777" w:rsidR="00C83808" w:rsidRPr="00C83808" w:rsidRDefault="00C83808" w:rsidP="00C527C9">
            <w:pPr>
              <w:pStyle w:val="TableParagraph"/>
              <w:spacing w:line="224" w:lineRule="exact"/>
              <w:ind w:left="105"/>
              <w:rPr>
                <w:rFonts w:eastAsiaTheme="minorHAnsi" w:cs="Consolas"/>
                <w:sz w:val="19"/>
                <w:lang w:val="es-ES_tradnl" w:eastAsia="en-US" w:bidi="ar-SA"/>
              </w:rPr>
            </w:pPr>
            <w:r w:rsidRPr="00C83808">
              <w:rPr>
                <w:rFonts w:eastAsiaTheme="minorHAnsi" w:cs="Consolas"/>
                <w:sz w:val="19"/>
                <w:lang w:val="es-ES_tradnl" w:eastAsia="en-US" w:bidi="ar-SA"/>
              </w:rPr>
              <w:t>En proceso</w:t>
            </w:r>
          </w:p>
          <w:p w14:paraId="58EA7EA4" w14:textId="77777777" w:rsidR="00C83808" w:rsidRPr="00C83808" w:rsidRDefault="00C83808" w:rsidP="00C83808">
            <w:pPr>
              <w:pStyle w:val="Prrafodelista"/>
              <w:numPr>
                <w:ilvl w:val="0"/>
                <w:numId w:val="7"/>
              </w:numPr>
              <w:ind w:left="259" w:hanging="259"/>
              <w:jc w:val="both"/>
              <w:rPr>
                <w:sz w:val="19"/>
                <w:szCs w:val="19"/>
              </w:rPr>
            </w:pPr>
            <w:r w:rsidRPr="00C83808">
              <w:rPr>
                <w:sz w:val="19"/>
                <w:szCs w:val="19"/>
              </w:rPr>
              <w:t xml:space="preserve">Se autorizó la adhesión de la Secretaría al IPEJAL a partir del 1 de enero de 2018 </w:t>
            </w:r>
          </w:p>
          <w:p w14:paraId="37094ED7" w14:textId="77777777" w:rsidR="00C83808" w:rsidRPr="00C83808" w:rsidRDefault="00C83808" w:rsidP="00C83808">
            <w:pPr>
              <w:pStyle w:val="Prrafodelista"/>
              <w:numPr>
                <w:ilvl w:val="0"/>
                <w:numId w:val="7"/>
              </w:numPr>
              <w:ind w:left="259" w:hanging="259"/>
              <w:jc w:val="both"/>
              <w:rPr>
                <w:sz w:val="19"/>
                <w:szCs w:val="19"/>
              </w:rPr>
            </w:pPr>
            <w:r w:rsidRPr="00C83808">
              <w:rPr>
                <w:sz w:val="19"/>
                <w:szCs w:val="19"/>
              </w:rPr>
              <w:t>Se recibió oficio de adhesión y capacitación para actualizar portal patronal de IPEJAL (16 de agosto del 2019)</w:t>
            </w:r>
          </w:p>
        </w:tc>
      </w:tr>
      <w:tr w:rsidR="00C83808" w:rsidRPr="00EB7AE0" w14:paraId="474106FF" w14:textId="77777777" w:rsidTr="00635E2D">
        <w:tc>
          <w:tcPr>
            <w:tcW w:w="1386" w:type="dxa"/>
            <w:vMerge/>
          </w:tcPr>
          <w:p w14:paraId="73844EDE" w14:textId="77777777" w:rsidR="00C83808" w:rsidRDefault="00C83808" w:rsidP="00C527C9">
            <w:pPr>
              <w:contextualSpacing/>
              <w:rPr>
                <w:sz w:val="19"/>
              </w:rPr>
            </w:pPr>
          </w:p>
        </w:tc>
        <w:tc>
          <w:tcPr>
            <w:tcW w:w="1705" w:type="dxa"/>
          </w:tcPr>
          <w:p w14:paraId="35D27EFA" w14:textId="465032DF" w:rsidR="00C83808" w:rsidRPr="00EB7AE0" w:rsidRDefault="339B3DCF" w:rsidP="44F2C78C">
            <w:pPr>
              <w:contextualSpacing/>
              <w:rPr>
                <w:sz w:val="19"/>
                <w:szCs w:val="19"/>
              </w:rPr>
            </w:pPr>
            <w:r w:rsidRPr="44F2C78C">
              <w:rPr>
                <w:sz w:val="19"/>
                <w:szCs w:val="19"/>
              </w:rPr>
              <w:t xml:space="preserve">A.OG.2018.23 del 9 de octubre del 2018 </w:t>
            </w:r>
          </w:p>
        </w:tc>
        <w:tc>
          <w:tcPr>
            <w:tcW w:w="3292" w:type="dxa"/>
          </w:tcPr>
          <w:p w14:paraId="675E1F0D" w14:textId="77777777" w:rsidR="00C83808" w:rsidRPr="00C83808" w:rsidRDefault="00C83808" w:rsidP="00C527C9">
            <w:pPr>
              <w:contextualSpacing/>
              <w:jc w:val="both"/>
              <w:rPr>
                <w:sz w:val="19"/>
                <w:szCs w:val="19"/>
              </w:rPr>
            </w:pPr>
            <w:r w:rsidRPr="00C83808">
              <w:rPr>
                <w:sz w:val="19"/>
              </w:rPr>
              <w:t>Aprobación de la incorporación de la Secretaría Ejecutiva como Organismo Público Descentralizado, no sectorizado, al Instituto Mexicano del Seguro Social, para el cumplimiento de sus obligaciones en la materia.</w:t>
            </w:r>
          </w:p>
        </w:tc>
        <w:tc>
          <w:tcPr>
            <w:tcW w:w="2728" w:type="dxa"/>
          </w:tcPr>
          <w:p w14:paraId="20DA1496" w14:textId="77777777" w:rsidR="00C83808" w:rsidRPr="00C83808" w:rsidRDefault="00C83808" w:rsidP="00C83808">
            <w:pPr>
              <w:pStyle w:val="TableParagraph"/>
              <w:spacing w:line="224" w:lineRule="exact"/>
              <w:ind w:left="105"/>
              <w:rPr>
                <w:rFonts w:eastAsiaTheme="minorHAnsi" w:cs="Consolas"/>
                <w:sz w:val="19"/>
                <w:lang w:val="es-ES_tradnl" w:eastAsia="en-US" w:bidi="ar-SA"/>
              </w:rPr>
            </w:pPr>
            <w:r w:rsidRPr="00C83808">
              <w:rPr>
                <w:rFonts w:eastAsiaTheme="minorHAnsi" w:cs="Consolas"/>
                <w:sz w:val="19"/>
                <w:lang w:val="es-ES_tradnl" w:eastAsia="en-US" w:bidi="ar-SA"/>
              </w:rPr>
              <w:t>En proceso</w:t>
            </w:r>
          </w:p>
          <w:p w14:paraId="69547051" w14:textId="39A4B592" w:rsidR="00C83808" w:rsidRPr="00C83808" w:rsidRDefault="339B3DCF" w:rsidP="44F2C78C">
            <w:pPr>
              <w:pStyle w:val="Prrafodelista"/>
              <w:numPr>
                <w:ilvl w:val="0"/>
                <w:numId w:val="7"/>
              </w:numPr>
              <w:ind w:left="259" w:hanging="259"/>
              <w:jc w:val="both"/>
              <w:rPr>
                <w:sz w:val="19"/>
                <w:szCs w:val="19"/>
              </w:rPr>
            </w:pPr>
            <w:r w:rsidRPr="44F2C78C">
              <w:rPr>
                <w:sz w:val="19"/>
                <w:szCs w:val="19"/>
              </w:rPr>
              <w:t>Se entregaron 7 juegos del convenio firmados en la Subdelegación Juárez, con toda la documentación solicitada, quedando la Secretaría Ejecutiva, en espera de que la Subdelegación envíe a C</w:t>
            </w:r>
            <w:r w:rsidR="0856A70A" w:rsidRPr="44F2C78C">
              <w:rPr>
                <w:sz w:val="19"/>
                <w:szCs w:val="19"/>
              </w:rPr>
              <w:t>iudad d</w:t>
            </w:r>
            <w:r w:rsidRPr="44F2C78C">
              <w:rPr>
                <w:sz w:val="19"/>
                <w:szCs w:val="19"/>
              </w:rPr>
              <w:t xml:space="preserve">e México los </w:t>
            </w:r>
            <w:r w:rsidRPr="44F2C78C">
              <w:rPr>
                <w:sz w:val="19"/>
                <w:szCs w:val="19"/>
              </w:rPr>
              <w:lastRenderedPageBreak/>
              <w:t>convenios (24 de julio del 2019)</w:t>
            </w:r>
          </w:p>
          <w:p w14:paraId="6765CB9C" w14:textId="77777777" w:rsidR="00C83808" w:rsidRPr="00C83808" w:rsidRDefault="00C83808" w:rsidP="00C83808">
            <w:pPr>
              <w:pStyle w:val="Prrafodelista"/>
              <w:numPr>
                <w:ilvl w:val="0"/>
                <w:numId w:val="7"/>
              </w:numPr>
              <w:ind w:left="259" w:hanging="259"/>
              <w:jc w:val="both"/>
              <w:rPr>
                <w:sz w:val="19"/>
                <w:szCs w:val="19"/>
              </w:rPr>
            </w:pPr>
            <w:r w:rsidRPr="00C83808">
              <w:rPr>
                <w:sz w:val="19"/>
                <w:szCs w:val="19"/>
              </w:rPr>
              <w:t xml:space="preserve">Seguimiento telefónico </w:t>
            </w:r>
          </w:p>
        </w:tc>
      </w:tr>
      <w:tr w:rsidR="00C83808" w:rsidRPr="00EB7AE0" w14:paraId="7D452DF3" w14:textId="77777777" w:rsidTr="00635E2D">
        <w:tc>
          <w:tcPr>
            <w:tcW w:w="1386" w:type="dxa"/>
            <w:vMerge/>
          </w:tcPr>
          <w:p w14:paraId="24B650FC" w14:textId="77777777" w:rsidR="00C83808" w:rsidRDefault="00C83808" w:rsidP="00C527C9">
            <w:pPr>
              <w:contextualSpacing/>
              <w:rPr>
                <w:sz w:val="19"/>
              </w:rPr>
            </w:pPr>
          </w:p>
        </w:tc>
        <w:tc>
          <w:tcPr>
            <w:tcW w:w="1705" w:type="dxa"/>
          </w:tcPr>
          <w:p w14:paraId="014DA00E" w14:textId="6AFAC3CA" w:rsidR="00C83808" w:rsidRPr="0066303C" w:rsidRDefault="339B3DCF" w:rsidP="44F2C78C">
            <w:pPr>
              <w:contextualSpacing/>
              <w:rPr>
                <w:sz w:val="19"/>
                <w:szCs w:val="19"/>
              </w:rPr>
            </w:pPr>
            <w:r w:rsidRPr="44F2C78C">
              <w:rPr>
                <w:sz w:val="19"/>
                <w:szCs w:val="19"/>
              </w:rPr>
              <w:t>A.OG.2918.28 del 3 de diciembre de 2018</w:t>
            </w:r>
          </w:p>
        </w:tc>
        <w:tc>
          <w:tcPr>
            <w:tcW w:w="3292" w:type="dxa"/>
          </w:tcPr>
          <w:p w14:paraId="1A01D7A9" w14:textId="77777777" w:rsidR="00C83808" w:rsidRPr="00C83808" w:rsidRDefault="00C83808" w:rsidP="00C527C9">
            <w:pPr>
              <w:contextualSpacing/>
              <w:jc w:val="both"/>
              <w:rPr>
                <w:sz w:val="19"/>
                <w:szCs w:val="19"/>
              </w:rPr>
            </w:pPr>
            <w:r w:rsidRPr="00C83808">
              <w:rPr>
                <w:sz w:val="19"/>
              </w:rPr>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tc>
        <w:tc>
          <w:tcPr>
            <w:tcW w:w="2728" w:type="dxa"/>
          </w:tcPr>
          <w:p w14:paraId="53BB2611" w14:textId="77777777" w:rsidR="00C83808" w:rsidRPr="00C83808" w:rsidRDefault="00C83808" w:rsidP="00C527C9">
            <w:pPr>
              <w:pStyle w:val="TableParagraph"/>
              <w:ind w:right="96"/>
              <w:jc w:val="both"/>
              <w:rPr>
                <w:sz w:val="19"/>
              </w:rPr>
            </w:pPr>
            <w:r w:rsidRPr="00C83808">
              <w:rPr>
                <w:sz w:val="19"/>
              </w:rPr>
              <w:t>En proceso</w:t>
            </w:r>
          </w:p>
          <w:p w14:paraId="4DB03DF1" w14:textId="1F6CBAD9" w:rsidR="00C83808" w:rsidRPr="00C83808" w:rsidRDefault="339B3DCF" w:rsidP="44F2C78C">
            <w:pPr>
              <w:pStyle w:val="Prrafodelista"/>
              <w:numPr>
                <w:ilvl w:val="0"/>
                <w:numId w:val="7"/>
              </w:numPr>
              <w:ind w:left="259" w:hanging="284"/>
              <w:rPr>
                <w:sz w:val="19"/>
                <w:szCs w:val="19"/>
              </w:rPr>
            </w:pPr>
            <w:r w:rsidRPr="44F2C78C">
              <w:rPr>
                <w:sz w:val="19"/>
                <w:szCs w:val="19"/>
              </w:rPr>
              <w:t>Se inició tr</w:t>
            </w:r>
            <w:r w:rsidR="73F196B7" w:rsidRPr="44F2C78C">
              <w:rPr>
                <w:sz w:val="19"/>
                <w:szCs w:val="19"/>
              </w:rPr>
              <w:t>á</w:t>
            </w:r>
            <w:r w:rsidRPr="44F2C78C">
              <w:rPr>
                <w:sz w:val="19"/>
                <w:szCs w:val="19"/>
              </w:rPr>
              <w:t>mite de inscripción al SEDAR (16 de agosto del 2019)</w:t>
            </w:r>
          </w:p>
        </w:tc>
      </w:tr>
      <w:tr w:rsidR="00635E2D" w:rsidRPr="00EB7AE0" w14:paraId="35B5FFDA" w14:textId="77777777" w:rsidTr="00635E2D">
        <w:tc>
          <w:tcPr>
            <w:tcW w:w="1386" w:type="dxa"/>
            <w:vMerge w:val="restart"/>
          </w:tcPr>
          <w:p w14:paraId="1F9AC56A" w14:textId="77777777" w:rsidR="00635E2D" w:rsidRDefault="00635E2D" w:rsidP="00C527C9">
            <w:pPr>
              <w:contextualSpacing/>
              <w:rPr>
                <w:b/>
                <w:sz w:val="36"/>
              </w:rPr>
            </w:pPr>
          </w:p>
          <w:p w14:paraId="0F94262A" w14:textId="77777777" w:rsidR="00635E2D" w:rsidRDefault="00635E2D" w:rsidP="00C527C9">
            <w:pPr>
              <w:contextualSpacing/>
              <w:rPr>
                <w:b/>
                <w:sz w:val="36"/>
              </w:rPr>
            </w:pPr>
          </w:p>
          <w:p w14:paraId="4188C4A4" w14:textId="77777777" w:rsidR="00635E2D" w:rsidRDefault="00635E2D" w:rsidP="00C527C9">
            <w:pPr>
              <w:contextualSpacing/>
              <w:rPr>
                <w:b/>
                <w:sz w:val="36"/>
              </w:rPr>
            </w:pPr>
          </w:p>
          <w:p w14:paraId="36ECA7F0" w14:textId="77777777" w:rsidR="00635E2D" w:rsidRDefault="00635E2D" w:rsidP="00C527C9">
            <w:pPr>
              <w:contextualSpacing/>
              <w:rPr>
                <w:b/>
                <w:sz w:val="36"/>
              </w:rPr>
            </w:pPr>
          </w:p>
          <w:p w14:paraId="2FF36C4B" w14:textId="77777777" w:rsidR="00635E2D" w:rsidRDefault="00635E2D" w:rsidP="00C527C9">
            <w:pPr>
              <w:contextualSpacing/>
              <w:rPr>
                <w:b/>
                <w:sz w:val="36"/>
              </w:rPr>
            </w:pPr>
          </w:p>
          <w:p w14:paraId="288E4560" w14:textId="77777777" w:rsidR="00635E2D" w:rsidRDefault="00635E2D" w:rsidP="00C527C9">
            <w:pPr>
              <w:contextualSpacing/>
              <w:rPr>
                <w:b/>
                <w:sz w:val="36"/>
              </w:rPr>
            </w:pPr>
          </w:p>
          <w:p w14:paraId="75083C54" w14:textId="77777777" w:rsidR="00635E2D" w:rsidRDefault="00635E2D" w:rsidP="00C527C9">
            <w:pPr>
              <w:contextualSpacing/>
              <w:rPr>
                <w:b/>
                <w:sz w:val="36"/>
              </w:rPr>
            </w:pPr>
          </w:p>
          <w:p w14:paraId="57FF5528" w14:textId="77777777" w:rsidR="00635E2D" w:rsidRDefault="00635E2D" w:rsidP="00C527C9">
            <w:pPr>
              <w:contextualSpacing/>
              <w:rPr>
                <w:b/>
                <w:sz w:val="36"/>
              </w:rPr>
            </w:pPr>
          </w:p>
          <w:p w14:paraId="201417D1" w14:textId="77777777" w:rsidR="00635E2D" w:rsidRDefault="00635E2D" w:rsidP="00C527C9">
            <w:pPr>
              <w:contextualSpacing/>
              <w:jc w:val="center"/>
              <w:rPr>
                <w:b/>
                <w:sz w:val="36"/>
              </w:rPr>
            </w:pPr>
            <w:r w:rsidRPr="00B11DEC">
              <w:rPr>
                <w:b/>
                <w:sz w:val="36"/>
              </w:rPr>
              <w:t>201</w:t>
            </w:r>
            <w:r>
              <w:rPr>
                <w:b/>
                <w:sz w:val="36"/>
              </w:rPr>
              <w:t>9</w:t>
            </w:r>
          </w:p>
          <w:p w14:paraId="34509649" w14:textId="77777777" w:rsidR="00F8215B" w:rsidRDefault="00F8215B" w:rsidP="00C527C9">
            <w:pPr>
              <w:contextualSpacing/>
              <w:jc w:val="center"/>
              <w:rPr>
                <w:b/>
                <w:sz w:val="36"/>
              </w:rPr>
            </w:pPr>
          </w:p>
          <w:p w14:paraId="737A48BA" w14:textId="77777777" w:rsidR="00F8215B" w:rsidRDefault="00F8215B" w:rsidP="00C527C9">
            <w:pPr>
              <w:contextualSpacing/>
              <w:jc w:val="center"/>
              <w:rPr>
                <w:b/>
                <w:sz w:val="36"/>
              </w:rPr>
            </w:pPr>
          </w:p>
          <w:p w14:paraId="2FF55A8B" w14:textId="77777777" w:rsidR="00F8215B" w:rsidRDefault="00F8215B" w:rsidP="00C527C9">
            <w:pPr>
              <w:contextualSpacing/>
              <w:jc w:val="center"/>
              <w:rPr>
                <w:b/>
                <w:sz w:val="36"/>
              </w:rPr>
            </w:pPr>
          </w:p>
          <w:p w14:paraId="6593482E" w14:textId="77777777" w:rsidR="00F8215B" w:rsidRDefault="00F8215B" w:rsidP="00C527C9">
            <w:pPr>
              <w:contextualSpacing/>
              <w:jc w:val="center"/>
              <w:rPr>
                <w:b/>
                <w:sz w:val="36"/>
              </w:rPr>
            </w:pPr>
          </w:p>
          <w:p w14:paraId="1A077EF1" w14:textId="77777777" w:rsidR="00F8215B" w:rsidRDefault="00F8215B" w:rsidP="00C527C9">
            <w:pPr>
              <w:contextualSpacing/>
              <w:jc w:val="center"/>
              <w:rPr>
                <w:b/>
                <w:sz w:val="36"/>
              </w:rPr>
            </w:pPr>
          </w:p>
          <w:p w14:paraId="35E2ABC4" w14:textId="77777777" w:rsidR="00F8215B" w:rsidRDefault="00F8215B" w:rsidP="00C527C9">
            <w:pPr>
              <w:contextualSpacing/>
              <w:jc w:val="center"/>
              <w:rPr>
                <w:b/>
                <w:sz w:val="36"/>
              </w:rPr>
            </w:pPr>
          </w:p>
          <w:p w14:paraId="79043BD2" w14:textId="77777777" w:rsidR="00F8215B" w:rsidRDefault="00F8215B" w:rsidP="00C527C9">
            <w:pPr>
              <w:contextualSpacing/>
              <w:jc w:val="center"/>
              <w:rPr>
                <w:b/>
                <w:sz w:val="36"/>
              </w:rPr>
            </w:pPr>
          </w:p>
          <w:p w14:paraId="3D7718D5" w14:textId="77777777" w:rsidR="00F8215B" w:rsidRDefault="00F8215B" w:rsidP="00C527C9">
            <w:pPr>
              <w:contextualSpacing/>
              <w:jc w:val="center"/>
              <w:rPr>
                <w:b/>
                <w:sz w:val="36"/>
              </w:rPr>
            </w:pPr>
          </w:p>
          <w:p w14:paraId="339D63E0" w14:textId="77777777" w:rsidR="00F8215B" w:rsidRDefault="00F8215B" w:rsidP="00C527C9">
            <w:pPr>
              <w:contextualSpacing/>
              <w:jc w:val="center"/>
              <w:rPr>
                <w:b/>
                <w:sz w:val="36"/>
              </w:rPr>
            </w:pPr>
          </w:p>
          <w:p w14:paraId="723623E7" w14:textId="77777777" w:rsidR="00F8215B" w:rsidRDefault="00F8215B" w:rsidP="00C527C9">
            <w:pPr>
              <w:contextualSpacing/>
              <w:jc w:val="center"/>
              <w:rPr>
                <w:b/>
                <w:sz w:val="36"/>
              </w:rPr>
            </w:pPr>
          </w:p>
          <w:p w14:paraId="4CFC85AA" w14:textId="77777777" w:rsidR="00F8215B" w:rsidRDefault="00F8215B" w:rsidP="00C527C9">
            <w:pPr>
              <w:contextualSpacing/>
              <w:jc w:val="center"/>
              <w:rPr>
                <w:b/>
                <w:sz w:val="36"/>
              </w:rPr>
            </w:pPr>
          </w:p>
          <w:p w14:paraId="41B80BB2" w14:textId="77777777" w:rsidR="00F8215B" w:rsidRDefault="00F8215B" w:rsidP="00C527C9">
            <w:pPr>
              <w:contextualSpacing/>
              <w:jc w:val="center"/>
              <w:rPr>
                <w:b/>
                <w:sz w:val="36"/>
              </w:rPr>
            </w:pPr>
          </w:p>
          <w:p w14:paraId="06ABC445" w14:textId="77777777" w:rsidR="00F8215B" w:rsidRDefault="00F8215B" w:rsidP="00C527C9">
            <w:pPr>
              <w:contextualSpacing/>
              <w:jc w:val="center"/>
              <w:rPr>
                <w:b/>
                <w:sz w:val="36"/>
              </w:rPr>
            </w:pPr>
          </w:p>
          <w:p w14:paraId="26734D55" w14:textId="77777777" w:rsidR="00F8215B" w:rsidRDefault="00F8215B" w:rsidP="00C527C9">
            <w:pPr>
              <w:contextualSpacing/>
              <w:jc w:val="center"/>
              <w:rPr>
                <w:b/>
                <w:sz w:val="36"/>
              </w:rPr>
            </w:pPr>
          </w:p>
          <w:p w14:paraId="02D63A7F" w14:textId="77777777" w:rsidR="00F8215B" w:rsidRDefault="00F8215B" w:rsidP="00C527C9">
            <w:pPr>
              <w:contextualSpacing/>
              <w:jc w:val="center"/>
              <w:rPr>
                <w:b/>
                <w:sz w:val="36"/>
              </w:rPr>
            </w:pPr>
          </w:p>
          <w:p w14:paraId="51569588" w14:textId="77777777" w:rsidR="00F8215B" w:rsidRDefault="00F8215B" w:rsidP="00C527C9">
            <w:pPr>
              <w:contextualSpacing/>
              <w:jc w:val="center"/>
              <w:rPr>
                <w:b/>
                <w:sz w:val="36"/>
              </w:rPr>
            </w:pPr>
          </w:p>
          <w:p w14:paraId="6200B697" w14:textId="01B36970" w:rsidR="00F8215B" w:rsidRPr="00E35C48" w:rsidRDefault="00F8215B" w:rsidP="00C527C9">
            <w:pPr>
              <w:contextualSpacing/>
              <w:jc w:val="center"/>
              <w:rPr>
                <w:sz w:val="19"/>
              </w:rPr>
            </w:pPr>
            <w:r w:rsidRPr="00B11DEC">
              <w:rPr>
                <w:b/>
                <w:sz w:val="36"/>
              </w:rPr>
              <w:t>201</w:t>
            </w:r>
            <w:r>
              <w:rPr>
                <w:b/>
                <w:sz w:val="36"/>
              </w:rPr>
              <w:t>9</w:t>
            </w:r>
          </w:p>
        </w:tc>
        <w:tc>
          <w:tcPr>
            <w:tcW w:w="1705" w:type="dxa"/>
          </w:tcPr>
          <w:p w14:paraId="5069ADAC" w14:textId="48CE0B00" w:rsidR="00635E2D" w:rsidRPr="008D6E59" w:rsidRDefault="00635E2D" w:rsidP="44F2C78C">
            <w:pPr>
              <w:contextualSpacing/>
              <w:jc w:val="both"/>
              <w:rPr>
                <w:sz w:val="19"/>
                <w:szCs w:val="19"/>
              </w:rPr>
            </w:pPr>
            <w:r w:rsidRPr="44F2C78C">
              <w:rPr>
                <w:sz w:val="19"/>
                <w:szCs w:val="19"/>
              </w:rPr>
              <w:lastRenderedPageBreak/>
              <w:t>A.OG.2019.22 del 4 de junio de 2019</w:t>
            </w:r>
          </w:p>
        </w:tc>
        <w:tc>
          <w:tcPr>
            <w:tcW w:w="3292" w:type="dxa"/>
          </w:tcPr>
          <w:p w14:paraId="01389221" w14:textId="0B135400" w:rsidR="00635E2D" w:rsidRPr="008D6E59" w:rsidRDefault="00635E2D" w:rsidP="44F2C78C">
            <w:pPr>
              <w:contextualSpacing/>
              <w:jc w:val="both"/>
              <w:rPr>
                <w:sz w:val="19"/>
                <w:szCs w:val="19"/>
              </w:rPr>
            </w:pPr>
            <w:r w:rsidRPr="44F2C78C">
              <w:rPr>
                <w:sz w:val="19"/>
                <w:szCs w:val="19"/>
              </w:rPr>
              <w:t>Se aprueban en lo general los “Lineamientos de Reclutamiento y Selección del Personal de la Secretaría Ejecutiva”, quedando la Secretaria Técnica en espera de recibir por parte de los integrantes del Órgano de Gobierno las observaciones.</w:t>
            </w:r>
          </w:p>
        </w:tc>
        <w:tc>
          <w:tcPr>
            <w:tcW w:w="2728" w:type="dxa"/>
            <w:shd w:val="clear" w:color="auto" w:fill="auto"/>
          </w:tcPr>
          <w:p w14:paraId="724AAC04" w14:textId="77777777" w:rsidR="00635E2D" w:rsidRPr="00C83808" w:rsidRDefault="00635E2D" w:rsidP="00C527C9">
            <w:pPr>
              <w:contextualSpacing/>
              <w:jc w:val="both"/>
              <w:rPr>
                <w:sz w:val="19"/>
                <w:szCs w:val="19"/>
                <w:highlight w:val="yellow"/>
              </w:rPr>
            </w:pPr>
            <w:r w:rsidRPr="00C83808">
              <w:rPr>
                <w:sz w:val="19"/>
              </w:rPr>
              <w:t xml:space="preserve">Se propone darlo por concluido, </w:t>
            </w:r>
            <w:proofErr w:type="gramStart"/>
            <w:r w:rsidRPr="00C83808">
              <w:rPr>
                <w:sz w:val="19"/>
              </w:rPr>
              <w:t>en razón de</w:t>
            </w:r>
            <w:proofErr w:type="gramEnd"/>
            <w:r w:rsidRPr="00C83808">
              <w:rPr>
                <w:sz w:val="19"/>
              </w:rPr>
              <w:t xml:space="preserve"> que se integraron las observaciones recibidas por la FECC y el ITEI  </w:t>
            </w:r>
          </w:p>
        </w:tc>
      </w:tr>
      <w:tr w:rsidR="00635E2D" w:rsidRPr="00EB7AE0" w14:paraId="1555C1BE" w14:textId="77777777" w:rsidTr="00635E2D">
        <w:trPr>
          <w:trHeight w:val="1226"/>
        </w:trPr>
        <w:tc>
          <w:tcPr>
            <w:tcW w:w="1386" w:type="dxa"/>
            <w:vMerge/>
          </w:tcPr>
          <w:p w14:paraId="0EB1752C" w14:textId="050A05D6" w:rsidR="00635E2D" w:rsidRPr="00F74E8D" w:rsidRDefault="00635E2D" w:rsidP="00C527C9">
            <w:pPr>
              <w:contextualSpacing/>
              <w:jc w:val="center"/>
              <w:rPr>
                <w:sz w:val="19"/>
              </w:rPr>
            </w:pPr>
          </w:p>
        </w:tc>
        <w:tc>
          <w:tcPr>
            <w:tcW w:w="1705" w:type="dxa"/>
          </w:tcPr>
          <w:p w14:paraId="48E8D65A" w14:textId="1DF741D5" w:rsidR="00635E2D" w:rsidRPr="00EB7AE0" w:rsidRDefault="00635E2D" w:rsidP="44F2C78C">
            <w:pPr>
              <w:contextualSpacing/>
              <w:rPr>
                <w:sz w:val="19"/>
                <w:szCs w:val="19"/>
              </w:rPr>
            </w:pPr>
            <w:r w:rsidRPr="44F2C78C">
              <w:rPr>
                <w:sz w:val="19"/>
                <w:szCs w:val="19"/>
              </w:rPr>
              <w:t>A.OG.2019.24 del 4 de junio de 2019</w:t>
            </w:r>
          </w:p>
        </w:tc>
        <w:tc>
          <w:tcPr>
            <w:tcW w:w="3292" w:type="dxa"/>
          </w:tcPr>
          <w:p w14:paraId="27740B78" w14:textId="77777777" w:rsidR="00635E2D" w:rsidRPr="00EB7AE0" w:rsidRDefault="00635E2D" w:rsidP="00C527C9">
            <w:pPr>
              <w:contextualSpacing/>
              <w:jc w:val="both"/>
              <w:rPr>
                <w:sz w:val="19"/>
                <w:szCs w:val="19"/>
              </w:rPr>
            </w:pPr>
            <w:r w:rsidRPr="00692661">
              <w:rPr>
                <w:sz w:val="19"/>
              </w:rPr>
              <w:t>Se le tiene por presentado al Titular del Órgano Interno de Control su Plan de trabajo y la propuesta de modificaciones al Estatuto Orgánico de la Secretaría Ejecutiva, el cual deberá ser analizado en reunión de trabajo con los Enlaces institucionales y el Coordinador de Asuntos Jurídicos de la Secretaría Ejecutiva.</w:t>
            </w:r>
          </w:p>
        </w:tc>
        <w:tc>
          <w:tcPr>
            <w:tcW w:w="2728" w:type="dxa"/>
            <w:shd w:val="clear" w:color="auto" w:fill="auto"/>
          </w:tcPr>
          <w:p w14:paraId="29E8CD17" w14:textId="77777777" w:rsidR="00635E2D" w:rsidRPr="00C83808" w:rsidRDefault="00635E2D" w:rsidP="00C527C9">
            <w:pPr>
              <w:pStyle w:val="TableParagraph"/>
              <w:ind w:left="50" w:right="96"/>
              <w:jc w:val="both"/>
              <w:rPr>
                <w:sz w:val="19"/>
              </w:rPr>
            </w:pPr>
            <w:r w:rsidRPr="00C83808">
              <w:rPr>
                <w:sz w:val="19"/>
              </w:rPr>
              <w:t xml:space="preserve">Se propone darlo por concluido, </w:t>
            </w:r>
            <w:proofErr w:type="gramStart"/>
            <w:r w:rsidRPr="00C83808">
              <w:rPr>
                <w:sz w:val="19"/>
              </w:rPr>
              <w:t>en razón de</w:t>
            </w:r>
            <w:proofErr w:type="gramEnd"/>
            <w:r w:rsidRPr="00C83808">
              <w:rPr>
                <w:sz w:val="19"/>
              </w:rPr>
              <w:t xml:space="preserve"> que se llevó a cabo la reunión de trabajo con los Enlaces para revisar la propuesta de modificaciones del EOSE (9 de julio del 2019)</w:t>
            </w:r>
          </w:p>
          <w:p w14:paraId="6310C4AB" w14:textId="77777777" w:rsidR="00635E2D" w:rsidRPr="00C83808" w:rsidRDefault="00635E2D" w:rsidP="00C527C9">
            <w:pPr>
              <w:pStyle w:val="TableParagraph"/>
              <w:ind w:left="50" w:right="96"/>
              <w:jc w:val="both"/>
              <w:rPr>
                <w:sz w:val="19"/>
                <w:highlight w:val="yellow"/>
              </w:rPr>
            </w:pPr>
          </w:p>
        </w:tc>
      </w:tr>
      <w:tr w:rsidR="00635E2D" w:rsidRPr="00EB7AE0" w14:paraId="34BD198C" w14:textId="77777777" w:rsidTr="00635E2D">
        <w:tc>
          <w:tcPr>
            <w:tcW w:w="1386" w:type="dxa"/>
            <w:vMerge/>
          </w:tcPr>
          <w:p w14:paraId="15F665E6" w14:textId="77777777" w:rsidR="00635E2D" w:rsidRPr="0047008C" w:rsidRDefault="00635E2D" w:rsidP="00C527C9">
            <w:pPr>
              <w:contextualSpacing/>
              <w:rPr>
                <w:sz w:val="19"/>
              </w:rPr>
            </w:pPr>
          </w:p>
        </w:tc>
        <w:tc>
          <w:tcPr>
            <w:tcW w:w="1705" w:type="dxa"/>
          </w:tcPr>
          <w:p w14:paraId="28AFF429" w14:textId="362B3712" w:rsidR="00635E2D" w:rsidRPr="00EB7AE0" w:rsidRDefault="00635E2D" w:rsidP="44F2C78C">
            <w:pPr>
              <w:contextualSpacing/>
              <w:rPr>
                <w:sz w:val="19"/>
                <w:szCs w:val="19"/>
              </w:rPr>
            </w:pPr>
            <w:r w:rsidRPr="44F2C78C">
              <w:rPr>
                <w:sz w:val="19"/>
                <w:szCs w:val="19"/>
              </w:rPr>
              <w:t>A.OG.2019.17 del 4 de junio de 2019</w:t>
            </w:r>
          </w:p>
        </w:tc>
        <w:tc>
          <w:tcPr>
            <w:tcW w:w="3292" w:type="dxa"/>
          </w:tcPr>
          <w:p w14:paraId="013686F0" w14:textId="547DD659" w:rsidR="00635E2D" w:rsidRPr="00EB7AE0" w:rsidRDefault="00635E2D" w:rsidP="44F2C78C">
            <w:pPr>
              <w:contextualSpacing/>
              <w:jc w:val="both"/>
              <w:rPr>
                <w:sz w:val="19"/>
                <w:szCs w:val="19"/>
              </w:rPr>
            </w:pPr>
            <w:r w:rsidRPr="44F2C78C">
              <w:rPr>
                <w:sz w:val="19"/>
                <w:szCs w:val="19"/>
              </w:rPr>
              <w:t>Se le tiene por presentado y se aprueba el Programa de trabajo de la Secretaría Ejecutiva para el ejercicio 2019.</w:t>
            </w:r>
          </w:p>
        </w:tc>
        <w:tc>
          <w:tcPr>
            <w:tcW w:w="2728" w:type="dxa"/>
          </w:tcPr>
          <w:p w14:paraId="23E367F3" w14:textId="77777777" w:rsidR="00635E2D" w:rsidRPr="00184E1A" w:rsidRDefault="00635E2D" w:rsidP="00C527C9">
            <w:pPr>
              <w:pStyle w:val="TableParagraph"/>
              <w:ind w:left="50" w:right="96"/>
              <w:jc w:val="both"/>
              <w:rPr>
                <w:sz w:val="19"/>
              </w:rPr>
            </w:pPr>
            <w:r w:rsidRPr="00184E1A">
              <w:rPr>
                <w:sz w:val="19"/>
              </w:rPr>
              <w:t xml:space="preserve">Concluido </w:t>
            </w:r>
          </w:p>
          <w:p w14:paraId="6617A90C" w14:textId="77777777" w:rsidR="00635E2D" w:rsidRPr="00EB7AE0" w:rsidRDefault="00635E2D" w:rsidP="00C527C9">
            <w:pPr>
              <w:contextualSpacing/>
              <w:rPr>
                <w:sz w:val="19"/>
                <w:szCs w:val="19"/>
              </w:rPr>
            </w:pPr>
          </w:p>
        </w:tc>
      </w:tr>
      <w:tr w:rsidR="00635E2D" w:rsidRPr="00EB7AE0" w14:paraId="40123F7D" w14:textId="77777777" w:rsidTr="00635E2D">
        <w:tc>
          <w:tcPr>
            <w:tcW w:w="1386" w:type="dxa"/>
            <w:vMerge/>
          </w:tcPr>
          <w:p w14:paraId="5589EC78" w14:textId="77777777" w:rsidR="00635E2D" w:rsidRPr="0047008C" w:rsidRDefault="00635E2D" w:rsidP="00C527C9">
            <w:pPr>
              <w:contextualSpacing/>
              <w:rPr>
                <w:sz w:val="19"/>
              </w:rPr>
            </w:pPr>
          </w:p>
        </w:tc>
        <w:tc>
          <w:tcPr>
            <w:tcW w:w="1705" w:type="dxa"/>
          </w:tcPr>
          <w:p w14:paraId="2741A4EA" w14:textId="272F11B5" w:rsidR="00635E2D" w:rsidRPr="00EB7AE0" w:rsidRDefault="00635E2D" w:rsidP="44F2C78C">
            <w:pPr>
              <w:contextualSpacing/>
              <w:rPr>
                <w:sz w:val="19"/>
                <w:szCs w:val="19"/>
              </w:rPr>
            </w:pPr>
            <w:r w:rsidRPr="44F2C78C">
              <w:rPr>
                <w:sz w:val="19"/>
                <w:szCs w:val="19"/>
              </w:rPr>
              <w:t>A.OG.2019.18 del 4 de junio del 2019</w:t>
            </w:r>
          </w:p>
        </w:tc>
        <w:tc>
          <w:tcPr>
            <w:tcW w:w="3292" w:type="dxa"/>
          </w:tcPr>
          <w:p w14:paraId="1C607F60" w14:textId="77777777" w:rsidR="00635E2D" w:rsidRPr="00EB7AE0" w:rsidRDefault="00635E2D" w:rsidP="00C527C9">
            <w:pPr>
              <w:contextualSpacing/>
              <w:jc w:val="both"/>
              <w:rPr>
                <w:sz w:val="19"/>
                <w:szCs w:val="19"/>
              </w:rPr>
            </w:pPr>
            <w:r w:rsidRPr="00715A99">
              <w:rPr>
                <w:sz w:val="19"/>
              </w:rPr>
              <w:t>Se le tiene por presentado y se aprueba el Informe de actividades de la Secretaría Ejecutiva correspondiente al periodo de agosto de 2018 a febrero de 2019.</w:t>
            </w:r>
          </w:p>
        </w:tc>
        <w:tc>
          <w:tcPr>
            <w:tcW w:w="2728" w:type="dxa"/>
          </w:tcPr>
          <w:p w14:paraId="3D033B99" w14:textId="77777777" w:rsidR="00635E2D" w:rsidRPr="000D14A2" w:rsidRDefault="00635E2D" w:rsidP="00C527C9">
            <w:pPr>
              <w:rPr>
                <w:sz w:val="19"/>
                <w:szCs w:val="19"/>
              </w:rPr>
            </w:pPr>
            <w:r w:rsidRPr="000D14A2">
              <w:rPr>
                <w:sz w:val="19"/>
              </w:rPr>
              <w:t xml:space="preserve">Concluido </w:t>
            </w:r>
          </w:p>
        </w:tc>
      </w:tr>
      <w:tr w:rsidR="00635E2D" w:rsidRPr="00EB7AE0" w14:paraId="2FF0268A" w14:textId="77777777" w:rsidTr="00635E2D">
        <w:tc>
          <w:tcPr>
            <w:tcW w:w="1386" w:type="dxa"/>
            <w:vMerge/>
          </w:tcPr>
          <w:p w14:paraId="171A6F43" w14:textId="77777777" w:rsidR="00635E2D" w:rsidRPr="0047008C" w:rsidRDefault="00635E2D" w:rsidP="00C527C9">
            <w:pPr>
              <w:contextualSpacing/>
              <w:rPr>
                <w:sz w:val="19"/>
              </w:rPr>
            </w:pPr>
          </w:p>
        </w:tc>
        <w:tc>
          <w:tcPr>
            <w:tcW w:w="1705" w:type="dxa"/>
          </w:tcPr>
          <w:p w14:paraId="6C2B1070" w14:textId="337D50C0" w:rsidR="00635E2D" w:rsidRPr="00EB7AE0" w:rsidRDefault="00635E2D" w:rsidP="44F2C78C">
            <w:pPr>
              <w:contextualSpacing/>
              <w:rPr>
                <w:sz w:val="19"/>
                <w:szCs w:val="19"/>
              </w:rPr>
            </w:pPr>
            <w:r w:rsidRPr="44F2C78C">
              <w:rPr>
                <w:sz w:val="19"/>
                <w:szCs w:val="19"/>
              </w:rPr>
              <w:t>A.OG.2019.19 del 4 de junio de 2019</w:t>
            </w:r>
          </w:p>
        </w:tc>
        <w:tc>
          <w:tcPr>
            <w:tcW w:w="3292" w:type="dxa"/>
          </w:tcPr>
          <w:p w14:paraId="4B22943E" w14:textId="77777777" w:rsidR="00635E2D" w:rsidRPr="00EB7AE0" w:rsidRDefault="00635E2D" w:rsidP="00C527C9">
            <w:pPr>
              <w:contextualSpacing/>
              <w:jc w:val="both"/>
              <w:rPr>
                <w:sz w:val="19"/>
                <w:szCs w:val="19"/>
              </w:rPr>
            </w:pPr>
            <w:r w:rsidRPr="008A1261">
              <w:rPr>
                <w:sz w:val="19"/>
              </w:rPr>
              <w:t>Se le tiene por presentado y se aprueba el Informe de actividades de la Secretaria Ejecutiva, correspondiente al periodo de enero a marzo de 2019.</w:t>
            </w:r>
          </w:p>
        </w:tc>
        <w:tc>
          <w:tcPr>
            <w:tcW w:w="2728" w:type="dxa"/>
          </w:tcPr>
          <w:p w14:paraId="089DFC99" w14:textId="77777777" w:rsidR="00635E2D" w:rsidRPr="00FA7FB7" w:rsidRDefault="00635E2D" w:rsidP="00C527C9">
            <w:pPr>
              <w:contextualSpacing/>
              <w:jc w:val="both"/>
              <w:rPr>
                <w:sz w:val="19"/>
                <w:szCs w:val="19"/>
              </w:rPr>
            </w:pPr>
            <w:r w:rsidRPr="00184E1A">
              <w:rPr>
                <w:sz w:val="19"/>
              </w:rPr>
              <w:t xml:space="preserve">Concluido </w:t>
            </w:r>
          </w:p>
        </w:tc>
      </w:tr>
      <w:tr w:rsidR="00635E2D" w:rsidRPr="00EB7AE0" w14:paraId="743DF307" w14:textId="77777777" w:rsidTr="00635E2D">
        <w:tc>
          <w:tcPr>
            <w:tcW w:w="1386" w:type="dxa"/>
            <w:vMerge/>
          </w:tcPr>
          <w:p w14:paraId="2B035560" w14:textId="77777777" w:rsidR="00635E2D" w:rsidRPr="0047008C" w:rsidRDefault="00635E2D" w:rsidP="00C527C9">
            <w:pPr>
              <w:contextualSpacing/>
              <w:rPr>
                <w:sz w:val="19"/>
              </w:rPr>
            </w:pPr>
          </w:p>
        </w:tc>
        <w:tc>
          <w:tcPr>
            <w:tcW w:w="1705" w:type="dxa"/>
          </w:tcPr>
          <w:p w14:paraId="39EF042A" w14:textId="105191D4" w:rsidR="00635E2D" w:rsidRPr="0066303C" w:rsidRDefault="00635E2D" w:rsidP="44F2C78C">
            <w:pPr>
              <w:contextualSpacing/>
              <w:rPr>
                <w:sz w:val="19"/>
                <w:szCs w:val="19"/>
              </w:rPr>
            </w:pPr>
            <w:r w:rsidRPr="44F2C78C">
              <w:rPr>
                <w:sz w:val="19"/>
                <w:szCs w:val="19"/>
              </w:rPr>
              <w:t>A.OG.2019.20 del 4 de junio de 2019</w:t>
            </w:r>
          </w:p>
        </w:tc>
        <w:tc>
          <w:tcPr>
            <w:tcW w:w="3292" w:type="dxa"/>
          </w:tcPr>
          <w:p w14:paraId="217F9341" w14:textId="77777777" w:rsidR="00635E2D" w:rsidRPr="00EB7AE0" w:rsidRDefault="00635E2D" w:rsidP="00C527C9">
            <w:pPr>
              <w:contextualSpacing/>
              <w:jc w:val="both"/>
              <w:rPr>
                <w:sz w:val="19"/>
                <w:szCs w:val="19"/>
              </w:rPr>
            </w:pPr>
            <w:r w:rsidRPr="00B32830">
              <w:rPr>
                <w:sz w:val="19"/>
              </w:rPr>
              <w:t xml:space="preserve">Se autoriza la transferencia presupuestal que solicita la Secretaria Técnica, que ajusta las partidas 211 Materiales, útiles y equipos, y 223 Utensilios para el servicio de alimentación, a fin de dar suficiencia presupuestal a la partida 221 Productos alimenticios para personas, en la forma y montos que se describen en la propuesta del </w:t>
            </w:r>
            <w:hyperlink r:id="rId11" w:history="1">
              <w:r w:rsidRPr="00CC128C">
                <w:rPr>
                  <w:rStyle w:val="Hipervnculo"/>
                  <w:color w:val="000000" w:themeColor="text1"/>
                  <w:sz w:val="19"/>
                  <w:u w:val="none"/>
                </w:rPr>
                <w:t>anexo 1</w:t>
              </w:r>
            </w:hyperlink>
            <w:r w:rsidRPr="00CC128C">
              <w:rPr>
                <w:color w:val="000000" w:themeColor="text1"/>
                <w:sz w:val="19"/>
              </w:rPr>
              <w:t>.</w:t>
            </w:r>
          </w:p>
        </w:tc>
        <w:tc>
          <w:tcPr>
            <w:tcW w:w="2728" w:type="dxa"/>
          </w:tcPr>
          <w:p w14:paraId="3640EFD8" w14:textId="77777777" w:rsidR="00635E2D" w:rsidRDefault="00635E2D" w:rsidP="00C527C9">
            <w:pPr>
              <w:contextualSpacing/>
              <w:rPr>
                <w:sz w:val="19"/>
                <w:szCs w:val="19"/>
              </w:rPr>
            </w:pPr>
            <w:r w:rsidRPr="00184E1A">
              <w:rPr>
                <w:sz w:val="19"/>
              </w:rPr>
              <w:t>Concluido</w:t>
            </w:r>
          </w:p>
        </w:tc>
      </w:tr>
      <w:tr w:rsidR="00635E2D" w:rsidRPr="00EB7AE0" w14:paraId="2EF863F0" w14:textId="77777777" w:rsidTr="00635E2D">
        <w:tc>
          <w:tcPr>
            <w:tcW w:w="1386" w:type="dxa"/>
            <w:vMerge/>
          </w:tcPr>
          <w:p w14:paraId="07A15147" w14:textId="77777777" w:rsidR="00635E2D" w:rsidRPr="0047008C" w:rsidRDefault="00635E2D" w:rsidP="00C527C9">
            <w:pPr>
              <w:contextualSpacing/>
              <w:rPr>
                <w:sz w:val="19"/>
              </w:rPr>
            </w:pPr>
          </w:p>
        </w:tc>
        <w:tc>
          <w:tcPr>
            <w:tcW w:w="1705" w:type="dxa"/>
          </w:tcPr>
          <w:p w14:paraId="52B7BC7A" w14:textId="7A196520" w:rsidR="00635E2D" w:rsidRDefault="00635E2D" w:rsidP="44F2C78C">
            <w:pPr>
              <w:contextualSpacing/>
              <w:rPr>
                <w:sz w:val="19"/>
                <w:szCs w:val="19"/>
              </w:rPr>
            </w:pPr>
            <w:r w:rsidRPr="44F2C78C">
              <w:rPr>
                <w:sz w:val="19"/>
                <w:szCs w:val="19"/>
              </w:rPr>
              <w:t>A.OG.2019.21 del 4 de junio de 2019</w:t>
            </w:r>
          </w:p>
        </w:tc>
        <w:tc>
          <w:tcPr>
            <w:tcW w:w="3292" w:type="dxa"/>
          </w:tcPr>
          <w:p w14:paraId="6DC66A30" w14:textId="77777777" w:rsidR="00635E2D" w:rsidRPr="00EB7AE0" w:rsidRDefault="00635E2D" w:rsidP="00C527C9">
            <w:pPr>
              <w:contextualSpacing/>
              <w:jc w:val="both"/>
              <w:rPr>
                <w:sz w:val="19"/>
                <w:szCs w:val="19"/>
              </w:rPr>
            </w:pPr>
            <w:r w:rsidRPr="007639AB">
              <w:rPr>
                <w:sz w:val="19"/>
              </w:rPr>
              <w:t xml:space="preserve">Se autoriza la creación de las partidas presupuestales 291 Herramientas menores y 351 Conservación y mantenimiento menor de inmuebles, así como las transferencias presupuestales desde las partidas 212 Materiales y útiles de impresión y reproducción, 216 Material de limpieza, 294 Refacciones y accesorios menores de equipo de cómputo y tecnologías de la información, 296 Refacciones y accesorios menores de equipo de transporte, con las que se dará suficiencia presupuestal a la citada partida 291.  De las partidas 311 Energía eléctrica, 318 Servicios postales y telegráficos, 338 Servicios de vigilancia, 355 Reparación y mantenimiento de equipo de transporte, 365 Servicios de la industria fílmica, del sonido y del video, que darán suficiencia presupuestal a la partida 351 mencionada, en la forma y montos que se describen en la propuesta del </w:t>
            </w:r>
            <w:hyperlink r:id="rId12" w:history="1">
              <w:r w:rsidRPr="00CC128C">
                <w:rPr>
                  <w:rStyle w:val="Hipervnculo"/>
                  <w:color w:val="000000" w:themeColor="text1"/>
                  <w:sz w:val="19"/>
                  <w:u w:val="none"/>
                </w:rPr>
                <w:t>anexo 1</w:t>
              </w:r>
            </w:hyperlink>
            <w:r w:rsidRPr="00CC128C">
              <w:rPr>
                <w:sz w:val="19"/>
              </w:rPr>
              <w:t>.</w:t>
            </w:r>
          </w:p>
        </w:tc>
        <w:tc>
          <w:tcPr>
            <w:tcW w:w="2728" w:type="dxa"/>
          </w:tcPr>
          <w:p w14:paraId="6FE4936B" w14:textId="77777777" w:rsidR="00635E2D" w:rsidRPr="000D14A2" w:rsidRDefault="00635E2D" w:rsidP="00C527C9">
            <w:pPr>
              <w:rPr>
                <w:sz w:val="19"/>
                <w:szCs w:val="19"/>
              </w:rPr>
            </w:pPr>
            <w:r w:rsidRPr="000D14A2">
              <w:rPr>
                <w:sz w:val="19"/>
              </w:rPr>
              <w:t>Concluido</w:t>
            </w:r>
          </w:p>
        </w:tc>
      </w:tr>
      <w:tr w:rsidR="00C83808" w:rsidRPr="00EB7AE0" w14:paraId="03AC120B" w14:textId="77777777" w:rsidTr="00635E2D">
        <w:tc>
          <w:tcPr>
            <w:tcW w:w="1386" w:type="dxa"/>
            <w:vMerge w:val="restart"/>
          </w:tcPr>
          <w:p w14:paraId="0A1EAF9B" w14:textId="77777777" w:rsidR="00C83808" w:rsidRDefault="00C83808" w:rsidP="00C527C9">
            <w:pPr>
              <w:contextualSpacing/>
              <w:jc w:val="center"/>
              <w:rPr>
                <w:b/>
                <w:sz w:val="36"/>
              </w:rPr>
            </w:pPr>
          </w:p>
          <w:p w14:paraId="56437060" w14:textId="77777777" w:rsidR="00C83808" w:rsidRDefault="00C83808" w:rsidP="00C527C9">
            <w:pPr>
              <w:contextualSpacing/>
              <w:jc w:val="center"/>
              <w:rPr>
                <w:b/>
                <w:sz w:val="36"/>
              </w:rPr>
            </w:pPr>
          </w:p>
          <w:p w14:paraId="743AED03" w14:textId="77777777" w:rsidR="00C83808" w:rsidRDefault="00C83808" w:rsidP="00C527C9">
            <w:pPr>
              <w:contextualSpacing/>
              <w:jc w:val="center"/>
              <w:rPr>
                <w:b/>
                <w:sz w:val="36"/>
              </w:rPr>
            </w:pPr>
          </w:p>
          <w:p w14:paraId="13A379A3" w14:textId="77777777" w:rsidR="00C83808" w:rsidRDefault="00C83808" w:rsidP="00C527C9">
            <w:pPr>
              <w:contextualSpacing/>
              <w:jc w:val="center"/>
              <w:rPr>
                <w:b/>
                <w:sz w:val="36"/>
              </w:rPr>
            </w:pPr>
          </w:p>
          <w:p w14:paraId="017E2B46" w14:textId="77777777" w:rsidR="00C83808" w:rsidRDefault="00C83808" w:rsidP="00C527C9">
            <w:pPr>
              <w:contextualSpacing/>
              <w:jc w:val="center"/>
              <w:rPr>
                <w:b/>
                <w:sz w:val="36"/>
              </w:rPr>
            </w:pPr>
          </w:p>
          <w:p w14:paraId="604ED3BA" w14:textId="77777777" w:rsidR="00C83808" w:rsidRDefault="00C83808" w:rsidP="00C527C9">
            <w:pPr>
              <w:contextualSpacing/>
              <w:jc w:val="center"/>
              <w:rPr>
                <w:b/>
                <w:sz w:val="36"/>
              </w:rPr>
            </w:pPr>
          </w:p>
          <w:p w14:paraId="752C4A18" w14:textId="77777777" w:rsidR="00F8215B" w:rsidRDefault="00F8215B" w:rsidP="00C527C9">
            <w:pPr>
              <w:contextualSpacing/>
              <w:jc w:val="center"/>
              <w:rPr>
                <w:b/>
                <w:sz w:val="36"/>
              </w:rPr>
            </w:pPr>
          </w:p>
          <w:p w14:paraId="4F468072" w14:textId="77777777" w:rsidR="00F8215B" w:rsidRDefault="00F8215B" w:rsidP="00C527C9">
            <w:pPr>
              <w:contextualSpacing/>
              <w:jc w:val="center"/>
              <w:rPr>
                <w:b/>
                <w:sz w:val="36"/>
              </w:rPr>
            </w:pPr>
          </w:p>
          <w:p w14:paraId="3313EDB9" w14:textId="77777777" w:rsidR="00F8215B" w:rsidRDefault="00F8215B" w:rsidP="00C527C9">
            <w:pPr>
              <w:contextualSpacing/>
              <w:jc w:val="center"/>
              <w:rPr>
                <w:b/>
                <w:sz w:val="36"/>
              </w:rPr>
            </w:pPr>
          </w:p>
          <w:p w14:paraId="4B1D625C" w14:textId="5EBA7B2A" w:rsidR="00C83808" w:rsidRPr="0047008C" w:rsidRDefault="00C83808" w:rsidP="00C527C9">
            <w:pPr>
              <w:contextualSpacing/>
              <w:jc w:val="center"/>
              <w:rPr>
                <w:sz w:val="19"/>
              </w:rPr>
            </w:pPr>
            <w:r w:rsidRPr="00B11DEC">
              <w:rPr>
                <w:b/>
                <w:sz w:val="36"/>
              </w:rPr>
              <w:t>201</w:t>
            </w:r>
            <w:r>
              <w:rPr>
                <w:b/>
                <w:sz w:val="36"/>
              </w:rPr>
              <w:t>9</w:t>
            </w:r>
          </w:p>
        </w:tc>
        <w:tc>
          <w:tcPr>
            <w:tcW w:w="1705" w:type="dxa"/>
          </w:tcPr>
          <w:p w14:paraId="415335EB" w14:textId="7F9C006C" w:rsidR="00C83808" w:rsidRDefault="339B3DCF" w:rsidP="44F2C78C">
            <w:pPr>
              <w:contextualSpacing/>
              <w:rPr>
                <w:sz w:val="19"/>
                <w:szCs w:val="19"/>
              </w:rPr>
            </w:pPr>
            <w:r w:rsidRPr="44F2C78C">
              <w:rPr>
                <w:sz w:val="19"/>
                <w:szCs w:val="19"/>
              </w:rPr>
              <w:t>A.OG.2019.23 del 4 de junio de 2019</w:t>
            </w:r>
          </w:p>
        </w:tc>
        <w:tc>
          <w:tcPr>
            <w:tcW w:w="3292" w:type="dxa"/>
          </w:tcPr>
          <w:p w14:paraId="304851B0" w14:textId="77777777" w:rsidR="00C83808" w:rsidRPr="00EB7AE0" w:rsidRDefault="00C83808" w:rsidP="00C527C9">
            <w:pPr>
              <w:contextualSpacing/>
              <w:jc w:val="both"/>
              <w:rPr>
                <w:sz w:val="19"/>
                <w:szCs w:val="19"/>
              </w:rPr>
            </w:pPr>
            <w:r w:rsidRPr="00184E1A">
              <w:rPr>
                <w:sz w:val="19"/>
              </w:rPr>
              <w:t>Se toma conocimiento del “Manual para las compras de bienes y servicios a través del fondo revolvente de la Secretaría Ejecutiva del Sistema Anticorrupción del Estado de Jalisco”.</w:t>
            </w:r>
          </w:p>
        </w:tc>
        <w:tc>
          <w:tcPr>
            <w:tcW w:w="2728" w:type="dxa"/>
          </w:tcPr>
          <w:p w14:paraId="61729431" w14:textId="77777777" w:rsidR="00C83808" w:rsidRPr="000D14A2" w:rsidRDefault="00C83808" w:rsidP="00C527C9">
            <w:pPr>
              <w:rPr>
                <w:sz w:val="19"/>
                <w:szCs w:val="19"/>
              </w:rPr>
            </w:pPr>
            <w:r w:rsidRPr="00184E1A">
              <w:rPr>
                <w:sz w:val="19"/>
              </w:rPr>
              <w:t>Concluido</w:t>
            </w:r>
          </w:p>
        </w:tc>
      </w:tr>
      <w:tr w:rsidR="00C83808" w:rsidRPr="00EB7AE0" w14:paraId="36C03C2C" w14:textId="77777777" w:rsidTr="00635E2D">
        <w:tc>
          <w:tcPr>
            <w:tcW w:w="1386" w:type="dxa"/>
            <w:vMerge/>
          </w:tcPr>
          <w:p w14:paraId="7B3CD53B" w14:textId="77777777" w:rsidR="00C83808" w:rsidRPr="0047008C" w:rsidRDefault="00C83808" w:rsidP="00C527C9">
            <w:pPr>
              <w:contextualSpacing/>
              <w:rPr>
                <w:sz w:val="19"/>
              </w:rPr>
            </w:pPr>
          </w:p>
        </w:tc>
        <w:tc>
          <w:tcPr>
            <w:tcW w:w="1705" w:type="dxa"/>
          </w:tcPr>
          <w:p w14:paraId="67CD4333" w14:textId="7B75E81F" w:rsidR="00C83808" w:rsidRDefault="339B3DCF" w:rsidP="44F2C78C">
            <w:pPr>
              <w:contextualSpacing/>
              <w:rPr>
                <w:sz w:val="19"/>
                <w:szCs w:val="19"/>
              </w:rPr>
            </w:pPr>
            <w:r w:rsidRPr="44F2C78C">
              <w:rPr>
                <w:sz w:val="19"/>
                <w:szCs w:val="19"/>
              </w:rPr>
              <w:t>A.OG.2019.25 del 4 de junio de 2019</w:t>
            </w:r>
          </w:p>
        </w:tc>
        <w:tc>
          <w:tcPr>
            <w:tcW w:w="3292" w:type="dxa"/>
          </w:tcPr>
          <w:p w14:paraId="4897E4A7" w14:textId="77777777" w:rsidR="00C83808" w:rsidRPr="00890A17" w:rsidRDefault="00C83808" w:rsidP="00C527C9">
            <w:pPr>
              <w:tabs>
                <w:tab w:val="left" w:pos="4156"/>
              </w:tabs>
              <w:ind w:left="120" w:right="146"/>
              <w:jc w:val="both"/>
              <w:rPr>
                <w:sz w:val="19"/>
              </w:rPr>
            </w:pPr>
            <w:r w:rsidRPr="00890A17">
              <w:rPr>
                <w:sz w:val="19"/>
              </w:rPr>
              <w:t xml:space="preserve">Se modifica el artículo 17 de las “Políticas, bases y lineamientos para la adquisición, enajenación, arrendamiento de bienes, contratación de servicios y manejo de almacenes de esta Secretaría Ejecutiva” para quedar de la siguiente manera:   </w:t>
            </w:r>
          </w:p>
          <w:p w14:paraId="062BAE71" w14:textId="5085CA3A" w:rsidR="00C83808" w:rsidRPr="00890A17" w:rsidRDefault="00C83808" w:rsidP="00C527C9">
            <w:pPr>
              <w:tabs>
                <w:tab w:val="left" w:pos="4156"/>
              </w:tabs>
              <w:ind w:left="120" w:right="146"/>
              <w:jc w:val="both"/>
              <w:rPr>
                <w:sz w:val="19"/>
              </w:rPr>
            </w:pPr>
            <w:r w:rsidRPr="00890A17">
              <w:rPr>
                <w:sz w:val="19"/>
              </w:rPr>
              <w:t xml:space="preserve">Artículo 17. Los montos autorizados que deberán tomarse en cuenta en los procesos de adquisiciones del </w:t>
            </w:r>
            <w:r w:rsidR="007751DB" w:rsidRPr="00890A17">
              <w:rPr>
                <w:sz w:val="19"/>
              </w:rPr>
              <w:t>organismo</w:t>
            </w:r>
            <w:r w:rsidRPr="00890A17">
              <w:rPr>
                <w:sz w:val="19"/>
              </w:rPr>
              <w:t xml:space="preserve"> serán los siguientes:</w:t>
            </w:r>
          </w:p>
          <w:p w14:paraId="54CFDB5F" w14:textId="77777777" w:rsidR="00C83808" w:rsidRPr="00890A17" w:rsidRDefault="00C83808" w:rsidP="00C527C9">
            <w:pPr>
              <w:tabs>
                <w:tab w:val="left" w:pos="4156"/>
              </w:tabs>
              <w:ind w:left="120" w:right="146"/>
              <w:jc w:val="both"/>
              <w:rPr>
                <w:sz w:val="19"/>
              </w:rPr>
            </w:pPr>
            <w:r w:rsidRPr="00890A17">
              <w:rPr>
                <w:sz w:val="19"/>
              </w:rPr>
              <w:t xml:space="preserve">Procedimiento: </w:t>
            </w:r>
          </w:p>
          <w:p w14:paraId="451FBFCD" w14:textId="4EA51509" w:rsidR="00C83808" w:rsidRPr="00890A17" w:rsidRDefault="339B3DCF" w:rsidP="44F2C78C">
            <w:pPr>
              <w:tabs>
                <w:tab w:val="left" w:pos="4156"/>
              </w:tabs>
              <w:ind w:left="120" w:right="146"/>
              <w:jc w:val="both"/>
              <w:rPr>
                <w:sz w:val="19"/>
                <w:szCs w:val="19"/>
              </w:rPr>
            </w:pPr>
            <w:r w:rsidRPr="44F2C78C">
              <w:rPr>
                <w:sz w:val="19"/>
                <w:szCs w:val="19"/>
              </w:rPr>
              <w:t xml:space="preserve">•Por fondo revolvente de $ 0 </w:t>
            </w:r>
            <w:r w:rsidR="6A383C72" w:rsidRPr="44F2C78C">
              <w:rPr>
                <w:sz w:val="19"/>
                <w:szCs w:val="19"/>
              </w:rPr>
              <w:t>p</w:t>
            </w:r>
            <w:r w:rsidRPr="44F2C78C">
              <w:rPr>
                <w:sz w:val="19"/>
                <w:szCs w:val="19"/>
              </w:rPr>
              <w:t xml:space="preserve">esos, hasta $ 12,500.00 </w:t>
            </w:r>
            <w:r w:rsidR="772C1047" w:rsidRPr="44F2C78C">
              <w:rPr>
                <w:sz w:val="19"/>
                <w:szCs w:val="19"/>
              </w:rPr>
              <w:t>p</w:t>
            </w:r>
            <w:r w:rsidRPr="44F2C78C">
              <w:rPr>
                <w:sz w:val="19"/>
                <w:szCs w:val="19"/>
              </w:rPr>
              <w:t xml:space="preserve">esos. </w:t>
            </w:r>
          </w:p>
          <w:p w14:paraId="6E0DF1B6" w14:textId="75BAF11C" w:rsidR="00C83808" w:rsidRPr="00890A17" w:rsidRDefault="339B3DCF" w:rsidP="44F2C78C">
            <w:pPr>
              <w:tabs>
                <w:tab w:val="left" w:pos="4156"/>
              </w:tabs>
              <w:ind w:left="120" w:right="146"/>
              <w:jc w:val="both"/>
              <w:rPr>
                <w:sz w:val="19"/>
                <w:szCs w:val="19"/>
              </w:rPr>
            </w:pPr>
            <w:r w:rsidRPr="44F2C78C">
              <w:rPr>
                <w:sz w:val="19"/>
                <w:szCs w:val="19"/>
              </w:rPr>
              <w:t xml:space="preserve">•Licitación </w:t>
            </w:r>
            <w:r w:rsidR="276B8BD3" w:rsidRPr="44F2C78C">
              <w:rPr>
                <w:sz w:val="19"/>
                <w:szCs w:val="19"/>
              </w:rPr>
              <w:t>p</w:t>
            </w:r>
            <w:r w:rsidRPr="44F2C78C">
              <w:rPr>
                <w:sz w:val="19"/>
                <w:szCs w:val="19"/>
              </w:rPr>
              <w:t xml:space="preserve">ública sin </w:t>
            </w:r>
            <w:r w:rsidR="7340741B" w:rsidRPr="44F2C78C">
              <w:rPr>
                <w:sz w:val="19"/>
                <w:szCs w:val="19"/>
              </w:rPr>
              <w:t>c</w:t>
            </w:r>
            <w:r w:rsidRPr="44F2C78C">
              <w:rPr>
                <w:sz w:val="19"/>
                <w:szCs w:val="19"/>
              </w:rPr>
              <w:t xml:space="preserve">oncurrencia de $ 12, 501.00 Pesos, hasta $ 580,000.00 Pesos. </w:t>
            </w:r>
          </w:p>
          <w:p w14:paraId="27FED5F2" w14:textId="186508D6" w:rsidR="00C83808" w:rsidRPr="00EB7AE0" w:rsidRDefault="339B3DCF" w:rsidP="44F2C78C">
            <w:pPr>
              <w:contextualSpacing/>
              <w:jc w:val="both"/>
              <w:rPr>
                <w:sz w:val="19"/>
                <w:szCs w:val="19"/>
              </w:rPr>
            </w:pPr>
            <w:r w:rsidRPr="44F2C78C">
              <w:rPr>
                <w:sz w:val="19"/>
                <w:szCs w:val="19"/>
              </w:rPr>
              <w:t xml:space="preserve">•Licitación </w:t>
            </w:r>
            <w:r w:rsidR="53AFBC59" w:rsidRPr="44F2C78C">
              <w:rPr>
                <w:sz w:val="19"/>
                <w:szCs w:val="19"/>
              </w:rPr>
              <w:t>p</w:t>
            </w:r>
            <w:r w:rsidRPr="44F2C78C">
              <w:rPr>
                <w:sz w:val="19"/>
                <w:szCs w:val="19"/>
              </w:rPr>
              <w:t xml:space="preserve">ública con </w:t>
            </w:r>
            <w:r w:rsidR="642E8069" w:rsidRPr="44F2C78C">
              <w:rPr>
                <w:sz w:val="19"/>
                <w:szCs w:val="19"/>
              </w:rPr>
              <w:t>c</w:t>
            </w:r>
            <w:r w:rsidRPr="44F2C78C">
              <w:rPr>
                <w:sz w:val="19"/>
                <w:szCs w:val="19"/>
              </w:rPr>
              <w:t>oncurrencia</w:t>
            </w:r>
            <w:r w:rsidR="0C596888" w:rsidRPr="44F2C78C">
              <w:rPr>
                <w:sz w:val="19"/>
                <w:szCs w:val="19"/>
              </w:rPr>
              <w:t>,</w:t>
            </w:r>
            <w:r w:rsidRPr="44F2C78C">
              <w:rPr>
                <w:sz w:val="19"/>
                <w:szCs w:val="19"/>
              </w:rPr>
              <w:t xml:space="preserve"> de $ 580,000.00 </w:t>
            </w:r>
            <w:r w:rsidR="784D9D88" w:rsidRPr="44F2C78C">
              <w:rPr>
                <w:sz w:val="19"/>
                <w:szCs w:val="19"/>
              </w:rPr>
              <w:t>p</w:t>
            </w:r>
            <w:r w:rsidRPr="44F2C78C">
              <w:rPr>
                <w:sz w:val="19"/>
                <w:szCs w:val="19"/>
              </w:rPr>
              <w:t>esos en adelante.</w:t>
            </w:r>
          </w:p>
        </w:tc>
        <w:tc>
          <w:tcPr>
            <w:tcW w:w="2728" w:type="dxa"/>
          </w:tcPr>
          <w:p w14:paraId="76625E15" w14:textId="77777777" w:rsidR="00C83808" w:rsidRPr="000D14A2" w:rsidRDefault="00C83808" w:rsidP="00C527C9">
            <w:pPr>
              <w:rPr>
                <w:sz w:val="19"/>
                <w:szCs w:val="19"/>
              </w:rPr>
            </w:pPr>
            <w:r w:rsidRPr="000D14A2">
              <w:rPr>
                <w:sz w:val="19"/>
              </w:rPr>
              <w:t>Concluido</w:t>
            </w:r>
          </w:p>
        </w:tc>
      </w:tr>
      <w:tr w:rsidR="00C83808" w:rsidRPr="00EB7AE0" w14:paraId="569DB2E0" w14:textId="77777777" w:rsidTr="00635E2D">
        <w:tc>
          <w:tcPr>
            <w:tcW w:w="1386" w:type="dxa"/>
            <w:vMerge/>
          </w:tcPr>
          <w:p w14:paraId="07D1373C" w14:textId="77777777" w:rsidR="00C83808" w:rsidRPr="0047008C" w:rsidRDefault="00C83808" w:rsidP="00C527C9">
            <w:pPr>
              <w:contextualSpacing/>
              <w:rPr>
                <w:sz w:val="19"/>
              </w:rPr>
            </w:pPr>
          </w:p>
        </w:tc>
        <w:tc>
          <w:tcPr>
            <w:tcW w:w="1705" w:type="dxa"/>
          </w:tcPr>
          <w:p w14:paraId="0040A4B6" w14:textId="757EB603" w:rsidR="00C83808" w:rsidRDefault="339B3DCF" w:rsidP="44F2C78C">
            <w:pPr>
              <w:contextualSpacing/>
              <w:rPr>
                <w:sz w:val="19"/>
                <w:szCs w:val="19"/>
              </w:rPr>
            </w:pPr>
            <w:r w:rsidRPr="44F2C78C">
              <w:rPr>
                <w:sz w:val="19"/>
                <w:szCs w:val="19"/>
              </w:rPr>
              <w:t>A.OG.2019.26 del 4 de junio de 2019</w:t>
            </w:r>
          </w:p>
        </w:tc>
        <w:tc>
          <w:tcPr>
            <w:tcW w:w="3292" w:type="dxa"/>
          </w:tcPr>
          <w:p w14:paraId="4AFB782A" w14:textId="77777777" w:rsidR="00C83808" w:rsidRDefault="00C83808" w:rsidP="00C527C9">
            <w:pPr>
              <w:contextualSpacing/>
              <w:jc w:val="both"/>
              <w:rPr>
                <w:sz w:val="19"/>
                <w:szCs w:val="19"/>
              </w:rPr>
            </w:pPr>
            <w:r w:rsidRPr="00184E1A">
              <w:rPr>
                <w:sz w:val="19"/>
              </w:rPr>
              <w:t>Se envíe a través de la Secretaria Técnica, a los integrantes del Órgano de Gobierno, por conducto de sus Enlaces, la propuesta de Acuerdo para dar respuesta el escrito signado por el C. Ramón Becerra Reynoso, presentado ante la Secretaría Ejecutiva el 15 de marzo de 2019, mediante el cual presenta Recurso de Reconsideración en contra de este Órgano de Gobierno.</w:t>
            </w:r>
          </w:p>
        </w:tc>
        <w:tc>
          <w:tcPr>
            <w:tcW w:w="2728" w:type="dxa"/>
          </w:tcPr>
          <w:p w14:paraId="2C3DB6E1" w14:textId="77777777" w:rsidR="00C83808" w:rsidRDefault="00C83808" w:rsidP="00C527C9">
            <w:pPr>
              <w:contextualSpacing/>
              <w:rPr>
                <w:sz w:val="19"/>
                <w:szCs w:val="19"/>
              </w:rPr>
            </w:pPr>
            <w:r w:rsidRPr="00184E1A">
              <w:rPr>
                <w:sz w:val="19"/>
              </w:rPr>
              <w:t>Concluido</w:t>
            </w:r>
          </w:p>
        </w:tc>
      </w:tr>
    </w:tbl>
    <w:p w14:paraId="7AE40CBE" w14:textId="77777777" w:rsidR="00C83808" w:rsidRDefault="00C83808" w:rsidP="00C83808">
      <w:pPr>
        <w:spacing w:line="240" w:lineRule="auto"/>
        <w:contextualSpacing/>
      </w:pPr>
    </w:p>
    <w:p w14:paraId="716AB631" w14:textId="77777777" w:rsidR="00F517AB" w:rsidRDefault="00F517AB" w:rsidP="00A76BE7">
      <w:pPr>
        <w:spacing w:line="240" w:lineRule="auto"/>
        <w:jc w:val="both"/>
        <w:rPr>
          <w:bCs/>
        </w:rPr>
      </w:pPr>
    </w:p>
    <w:p w14:paraId="25DC794D" w14:textId="5BDE3CB8" w:rsidR="00997C4B" w:rsidRPr="00D601B9" w:rsidRDefault="00A76BE7" w:rsidP="44F2C78C">
      <w:pPr>
        <w:spacing w:line="240" w:lineRule="auto"/>
        <w:jc w:val="both"/>
        <w:rPr>
          <w:i/>
          <w:iCs/>
        </w:rPr>
      </w:pPr>
      <w:r>
        <w:lastRenderedPageBreak/>
        <w:t xml:space="preserve">La Secretaria Técnica menciona que respecto </w:t>
      </w:r>
      <w:r w:rsidR="004034DA">
        <w:t xml:space="preserve">al acuerdo </w:t>
      </w:r>
      <w:r w:rsidR="00D601B9" w:rsidRPr="44F2C78C">
        <w:rPr>
          <w:b/>
          <w:bCs/>
        </w:rPr>
        <w:t xml:space="preserve">A.OG.2018.22, </w:t>
      </w:r>
      <w:r w:rsidR="00060232">
        <w:t>sobre</w:t>
      </w:r>
      <w:r w:rsidR="005E1379">
        <w:t xml:space="preserve"> la adhesión de la Secretaría Ejecutiva al Instituto de Pensiones del Estado de Jalisco,</w:t>
      </w:r>
      <w:r w:rsidR="004C4F86">
        <w:t xml:space="preserve"> contin</w:t>
      </w:r>
      <w:r w:rsidR="210DC1AA">
        <w:t>ú</w:t>
      </w:r>
      <w:r w:rsidR="004C4F86">
        <w:t>a en proceso</w:t>
      </w:r>
      <w:r w:rsidR="7F578E31">
        <w:t>;</w:t>
      </w:r>
      <w:r w:rsidR="004C4F86">
        <w:t xml:space="preserve"> sin embargo</w:t>
      </w:r>
      <w:r w:rsidR="44D2220A">
        <w:t>,</w:t>
      </w:r>
      <w:r w:rsidR="004C4F86">
        <w:t xml:space="preserve"> </w:t>
      </w:r>
      <w:r w:rsidR="00974A24">
        <w:t>informa que el 16 de agosto del 2019 se autorizó</w:t>
      </w:r>
      <w:r w:rsidR="004F1257">
        <w:t xml:space="preserve"> mediante oficio</w:t>
      </w:r>
      <w:r w:rsidR="00974A24">
        <w:t xml:space="preserve"> </w:t>
      </w:r>
      <w:r w:rsidR="00273390">
        <w:t xml:space="preserve">dicha adhesión a partir del 1 de enero del 2018, </w:t>
      </w:r>
      <w:r w:rsidR="000522DD">
        <w:t xml:space="preserve">fecha en la que ingresó </w:t>
      </w:r>
      <w:r w:rsidR="001859B2">
        <w:t>la Mtra. Norma Hernández, quien fungió como la primera titular del Órgano Interno de Control de esta Secretaría.</w:t>
      </w:r>
      <w:r w:rsidR="005E1379">
        <w:t xml:space="preserve"> </w:t>
      </w:r>
    </w:p>
    <w:p w14:paraId="1626506C" w14:textId="48FBE680" w:rsidR="00292FAF" w:rsidRDefault="00F517AB" w:rsidP="00997C4B">
      <w:pPr>
        <w:spacing w:line="240" w:lineRule="auto"/>
        <w:jc w:val="both"/>
        <w:rPr>
          <w:bCs/>
        </w:rPr>
      </w:pPr>
      <w:r>
        <w:t xml:space="preserve">La Secretaria Técnica recuerda el </w:t>
      </w:r>
      <w:r w:rsidR="2BDD5596">
        <w:t>a</w:t>
      </w:r>
      <w:r>
        <w:t xml:space="preserve">cuerdo </w:t>
      </w:r>
      <w:r w:rsidRPr="44F2C78C">
        <w:rPr>
          <w:b/>
          <w:bCs/>
        </w:rPr>
        <w:t>A.OG.201</w:t>
      </w:r>
      <w:r w:rsidR="00A37430" w:rsidRPr="44F2C78C">
        <w:rPr>
          <w:b/>
          <w:bCs/>
        </w:rPr>
        <w:t>8.23</w:t>
      </w:r>
      <w:r>
        <w:t xml:space="preserve">, </w:t>
      </w:r>
      <w:r w:rsidR="00292FAF">
        <w:t xml:space="preserve">relacionado </w:t>
      </w:r>
      <w:r w:rsidR="39828247">
        <w:t xml:space="preserve">con </w:t>
      </w:r>
      <w:r w:rsidR="00A37430">
        <w:t>la incorpora</w:t>
      </w:r>
      <w:r w:rsidR="00994D19">
        <w:t>ción de la Secretaría Ejecutiva al Instituto M</w:t>
      </w:r>
      <w:r w:rsidR="00B70648">
        <w:t>exicano del Seguro Social</w:t>
      </w:r>
      <w:r w:rsidR="1AF2B999">
        <w:t>;</w:t>
      </w:r>
      <w:r w:rsidR="008C25F8">
        <w:t xml:space="preserve"> </w:t>
      </w:r>
      <w:r w:rsidR="0003570F">
        <w:t xml:space="preserve">menciona </w:t>
      </w:r>
      <w:proofErr w:type="gramStart"/>
      <w:r w:rsidR="0003570F">
        <w:t>que</w:t>
      </w:r>
      <w:proofErr w:type="gramEnd"/>
      <w:r w:rsidR="0003570F">
        <w:t xml:space="preserve"> tras meses de trámites </w:t>
      </w:r>
      <w:r w:rsidR="00F524F3">
        <w:t>y seguimiento, el 24 de julio del 2019 se entregaron siete juegos firmados del convenio</w:t>
      </w:r>
      <w:r w:rsidR="00112BDE">
        <w:t xml:space="preserve"> en la </w:t>
      </w:r>
      <w:r w:rsidR="2935171B">
        <w:t>S</w:t>
      </w:r>
      <w:r w:rsidR="00112BDE">
        <w:t xml:space="preserve">ubdelegación Juárez </w:t>
      </w:r>
      <w:r w:rsidR="008F34E3">
        <w:t xml:space="preserve">con la documentación solicitada. </w:t>
      </w:r>
      <w:r w:rsidR="00F26E5D">
        <w:t xml:space="preserve">Comenta que se está a la espera de que dicha subdelegación envíe los </w:t>
      </w:r>
      <w:r w:rsidR="0064574E">
        <w:t>documentos a la Ciudad de México, por lo que se seguirá informand</w:t>
      </w:r>
      <w:r w:rsidR="00751DDF">
        <w:t xml:space="preserve">o. </w:t>
      </w:r>
    </w:p>
    <w:p w14:paraId="44CC0250" w14:textId="74B25D6E" w:rsidR="00F435C3" w:rsidRDefault="00AD4DAB" w:rsidP="00997C4B">
      <w:pPr>
        <w:spacing w:line="240" w:lineRule="auto"/>
        <w:jc w:val="both"/>
        <w:rPr>
          <w:bCs/>
        </w:rPr>
      </w:pPr>
      <w:r>
        <w:t xml:space="preserve">La Secretaria Técnica </w:t>
      </w:r>
      <w:r w:rsidR="005D4846">
        <w:t>añade</w:t>
      </w:r>
      <w:r>
        <w:t xml:space="preserve"> </w:t>
      </w:r>
      <w:r w:rsidR="005D4846">
        <w:t>sobre el</w:t>
      </w:r>
      <w:r w:rsidR="008E53B9">
        <w:t xml:space="preserve"> acuerdo </w:t>
      </w:r>
      <w:r w:rsidR="008E53B9" w:rsidRPr="44F2C78C">
        <w:rPr>
          <w:b/>
          <w:bCs/>
        </w:rPr>
        <w:t>A.OG.201</w:t>
      </w:r>
      <w:r w:rsidR="00751DDF" w:rsidRPr="44F2C78C">
        <w:rPr>
          <w:b/>
          <w:bCs/>
        </w:rPr>
        <w:t>8.28</w:t>
      </w:r>
      <w:r w:rsidR="008E53B9">
        <w:t xml:space="preserve"> </w:t>
      </w:r>
      <w:r w:rsidR="00751DDF">
        <w:t xml:space="preserve">que el 16 de agosto de 2019 se inició el trámite de </w:t>
      </w:r>
      <w:r w:rsidR="00BA37BF">
        <w:t xml:space="preserve">inscripción al Sistema Estatal de Ahorro para el Retiro. </w:t>
      </w:r>
    </w:p>
    <w:p w14:paraId="6B34E8B8" w14:textId="3CE723A4" w:rsidR="000D0AD1" w:rsidRDefault="00F435C3" w:rsidP="00997C4B">
      <w:pPr>
        <w:spacing w:line="240" w:lineRule="auto"/>
        <w:jc w:val="both"/>
      </w:pPr>
      <w:r>
        <w:t>Contin</w:t>
      </w:r>
      <w:r w:rsidR="64DF297C">
        <w:t>uó</w:t>
      </w:r>
      <w:r>
        <w:t xml:space="preserve"> la Secretaria Técnica con los acuerdos en proceso del 2019</w:t>
      </w:r>
      <w:r w:rsidR="2D891957">
        <w:t>. D</w:t>
      </w:r>
      <w:r w:rsidR="00411A43">
        <w:t xml:space="preserve">el </w:t>
      </w:r>
      <w:r w:rsidR="1A7C7799">
        <w:t>a</w:t>
      </w:r>
      <w:r w:rsidR="00411A43">
        <w:t xml:space="preserve">cuerdo </w:t>
      </w:r>
      <w:r w:rsidR="00411A43" w:rsidRPr="44F2C78C">
        <w:rPr>
          <w:b/>
          <w:bCs/>
        </w:rPr>
        <w:t>A.OG.2019.</w:t>
      </w:r>
      <w:r w:rsidR="00CD129F" w:rsidRPr="44F2C78C">
        <w:rPr>
          <w:b/>
          <w:bCs/>
        </w:rPr>
        <w:t xml:space="preserve">22, </w:t>
      </w:r>
      <w:r w:rsidR="0055457C">
        <w:t xml:space="preserve">mediante el </w:t>
      </w:r>
      <w:r w:rsidR="4D08ED77">
        <w:t xml:space="preserve">cual </w:t>
      </w:r>
      <w:r w:rsidR="0055457C">
        <w:t>se apr</w:t>
      </w:r>
      <w:r w:rsidR="3FFF6A5F">
        <w:t xml:space="preserve">obaron </w:t>
      </w:r>
      <w:r w:rsidR="0055457C">
        <w:t xml:space="preserve">en lo general los “Lineamientos de Reclutamiento y Selección del Personal de la Secretaría Ejecutiva”, quedando la Secretaria Técnica en espera de recibir por parte de los integrantes del Órgano de Gobierno las observaciones, propone darlo por concluido, </w:t>
      </w:r>
      <w:proofErr w:type="gramStart"/>
      <w:r w:rsidR="0055457C">
        <w:t>en razón de</w:t>
      </w:r>
      <w:proofErr w:type="gramEnd"/>
      <w:r w:rsidR="0055457C">
        <w:t xml:space="preserve"> que se integraron las observaciones recibidas </w:t>
      </w:r>
      <w:r w:rsidR="00C56ED3">
        <w:t xml:space="preserve">por la Fiscalía Especializada en Combate a la Corrupción y el Instituto de Transparencia (ITEI). </w:t>
      </w:r>
      <w:r w:rsidR="007438CF">
        <w:t xml:space="preserve">A lo anterior, todos se manifestaron a favor. </w:t>
      </w:r>
    </w:p>
    <w:p w14:paraId="0D7A0299" w14:textId="41888C1E" w:rsidR="000D0AD1" w:rsidRDefault="000D0AD1" w:rsidP="00997C4B">
      <w:pPr>
        <w:spacing w:line="240" w:lineRule="auto"/>
        <w:jc w:val="both"/>
      </w:pPr>
      <w:r>
        <w:t xml:space="preserve">Respecto al </w:t>
      </w:r>
      <w:r w:rsidR="68EA4222">
        <w:t>a</w:t>
      </w:r>
      <w:r>
        <w:t xml:space="preserve">cuerdo </w:t>
      </w:r>
      <w:r w:rsidRPr="44F2C78C">
        <w:rPr>
          <w:b/>
          <w:bCs/>
        </w:rPr>
        <w:t>A.OG.2019.24,</w:t>
      </w:r>
      <w:r w:rsidR="004E1672" w:rsidRPr="44F2C78C">
        <w:rPr>
          <w:b/>
          <w:bCs/>
        </w:rPr>
        <w:t xml:space="preserve"> </w:t>
      </w:r>
      <w:r w:rsidR="004E1672">
        <w:t xml:space="preserve">la Secretaria Técnica </w:t>
      </w:r>
      <w:r w:rsidR="009B0C79">
        <w:t xml:space="preserve">recuerda que consiste en que </w:t>
      </w:r>
      <w:r w:rsidR="001A20FA">
        <w:t>se le tiene por presentado al Titular del Órgano Interno de Control su Plan de trabajo y la propuesta de modificaciones al Estatuto Orgánico de la Secretaría Ejecutiva, el cual deberá ser analizado en reunión de trabajo con los Enlaces institucionales y el Coordinador de Asuntos Jurídicos de la Secretaría Ejecutiva,</w:t>
      </w:r>
      <w:r w:rsidR="008134C5">
        <w:t xml:space="preserve"> </w:t>
      </w:r>
      <w:r w:rsidR="00D01F7A">
        <w:t xml:space="preserve">y sobre ello </w:t>
      </w:r>
      <w:r w:rsidR="00FC31EB">
        <w:t>propone darlo por concluido, en razón de que se llevó a cabo el 9 de julio la reunión de trabajo con los Enlaces para revisar la propuesta de modificaciones del Estatuto Orgánico de la Secretaría Ejecutiva</w:t>
      </w:r>
      <w:r w:rsidR="00A60985">
        <w:t>.</w:t>
      </w:r>
    </w:p>
    <w:p w14:paraId="47966851" w14:textId="72EED50D" w:rsidR="004F3AFD" w:rsidRDefault="00814E50" w:rsidP="004F3AFD">
      <w:pPr>
        <w:jc w:val="both"/>
      </w:pPr>
      <w:r>
        <w:t>La Secretaria Técnica</w:t>
      </w:r>
      <w:r w:rsidR="001B35E4">
        <w:t xml:space="preserve"> </w:t>
      </w:r>
      <w:r w:rsidR="009237D7">
        <w:t>inform</w:t>
      </w:r>
      <w:r w:rsidR="005E4114">
        <w:t xml:space="preserve">a </w:t>
      </w:r>
      <w:r w:rsidR="0068036B">
        <w:t xml:space="preserve">que derivado de la reunión de trabajo </w:t>
      </w:r>
      <w:r w:rsidR="006B5CFE">
        <w:t xml:space="preserve">con Enlaces </w:t>
      </w:r>
      <w:r w:rsidR="0068036B">
        <w:t>anteriormente señalada</w:t>
      </w:r>
      <w:r w:rsidR="006B5CFE">
        <w:t xml:space="preserve">, se celebró </w:t>
      </w:r>
      <w:r w:rsidR="00E247EC">
        <w:t xml:space="preserve">el 20 de agosto </w:t>
      </w:r>
      <w:r w:rsidR="00164C79">
        <w:t>también</w:t>
      </w:r>
      <w:r w:rsidR="68C75799">
        <w:t xml:space="preserve"> </w:t>
      </w:r>
      <w:r w:rsidR="0040174B">
        <w:t xml:space="preserve">una reunión con los </w:t>
      </w:r>
      <w:r w:rsidR="4FDE4F2F">
        <w:t>i</w:t>
      </w:r>
      <w:r w:rsidR="0040174B">
        <w:t>ntegrantes de este Órgano de Gobierno</w:t>
      </w:r>
      <w:r w:rsidR="001F42AE">
        <w:t xml:space="preserve">, de lo cual se concluyó que no es viable aprobar las propuestas de modificación </w:t>
      </w:r>
      <w:r w:rsidR="00F82A3C">
        <w:t xml:space="preserve">del Estatuto Orgánico de la Secretaría Ejecutiva, que contiene a la vez las propuestas de reforma </w:t>
      </w:r>
      <w:r w:rsidR="00002451">
        <w:t xml:space="preserve">presentadas por el Titular del Órgano Interno de Control de la Secretaría Ejecutiva, </w:t>
      </w:r>
      <w:r w:rsidR="006B1CC9">
        <w:t xml:space="preserve">en razón de que </w:t>
      </w:r>
      <w:r w:rsidR="00E54FEE">
        <w:t>se requiere</w:t>
      </w:r>
      <w:r w:rsidR="004F5235">
        <w:t xml:space="preserve"> realizar un análisis integral y resolver en cuál o </w:t>
      </w:r>
      <w:r w:rsidR="00BD4379">
        <w:t>cuáles</w:t>
      </w:r>
      <w:r w:rsidR="004F5235">
        <w:t xml:space="preserve"> ordenamientos </w:t>
      </w:r>
      <w:r w:rsidR="00EC08DD">
        <w:lastRenderedPageBreak/>
        <w:t xml:space="preserve">internos se pudiesen reservar </w:t>
      </w:r>
      <w:r w:rsidR="00145A99">
        <w:t xml:space="preserve">algunas de las disposiciones sugeridas, además de considerar la </w:t>
      </w:r>
      <w:r w:rsidR="009C57FE">
        <w:t xml:space="preserve">reforma </w:t>
      </w:r>
      <w:r w:rsidR="005527E4">
        <w:t xml:space="preserve">a </w:t>
      </w:r>
      <w:r w:rsidR="00646CD0">
        <w:t xml:space="preserve">la Ley del Sistema Anticorrupción del Estado de Jalisco </w:t>
      </w:r>
      <w:r w:rsidR="00CC0682">
        <w:t xml:space="preserve">que se encuentra actualmente en </w:t>
      </w:r>
      <w:r w:rsidR="00022D07">
        <w:t xml:space="preserve">proceso de análisis por el H. Congreso del Estado, </w:t>
      </w:r>
      <w:r w:rsidR="004F3AFD">
        <w:t>cuyos alcances pueden indicar el rumbo de la normativa interna.</w:t>
      </w:r>
    </w:p>
    <w:p w14:paraId="7A019AA0" w14:textId="5A455BE3" w:rsidR="00C819B0" w:rsidRPr="004F3AFD" w:rsidRDefault="00C819B0" w:rsidP="004F3AFD">
      <w:pPr>
        <w:jc w:val="both"/>
      </w:pPr>
      <w:r>
        <w:t xml:space="preserve">La Secretaria Técnica somete a consideración de los </w:t>
      </w:r>
      <w:r w:rsidR="233F2401">
        <w:t>i</w:t>
      </w:r>
      <w:r>
        <w:t xml:space="preserve">ntegrantes del Órgano de Gobierno </w:t>
      </w:r>
      <w:r w:rsidR="00634F1B">
        <w:t>que no se aprueben</w:t>
      </w:r>
      <w:r w:rsidR="007F015D">
        <w:t xml:space="preserve"> las modificaciones del Estatuto Orgánico de la Secretaria Ejecutiva, propuesta por la Secretaria Técnica, y que contiene a la vez las propuestas de reformas presentadas a este Órgano de Gobierno por el Titular del Órgano Interno de Control en la Sesión Ordinaria del 4 de junio.</w:t>
      </w:r>
    </w:p>
    <w:p w14:paraId="5E56F096" w14:textId="66226614" w:rsidR="00A60985" w:rsidRPr="004E1672" w:rsidRDefault="007F015D" w:rsidP="00997C4B">
      <w:pPr>
        <w:spacing w:line="240" w:lineRule="auto"/>
        <w:jc w:val="both"/>
      </w:pPr>
      <w:r>
        <w:t xml:space="preserve">El </w:t>
      </w:r>
      <w:proofErr w:type="gramStart"/>
      <w:r>
        <w:t>Presidente</w:t>
      </w:r>
      <w:proofErr w:type="gramEnd"/>
      <w:r>
        <w:t xml:space="preserve"> del Órgano de Gobierno consulta si existe algún comentario. Al no haberlo</w:t>
      </w:r>
      <w:r w:rsidR="00915FAA">
        <w:t>,</w:t>
      </w:r>
      <w:r>
        <w:t xml:space="preserve"> </w:t>
      </w:r>
      <w:r w:rsidR="00915FAA">
        <w:t xml:space="preserve">solicita la votación y es aprobado el </w:t>
      </w:r>
      <w:r w:rsidR="37EC6911">
        <w:t>a</w:t>
      </w:r>
      <w:r w:rsidR="00915FAA">
        <w:t xml:space="preserve">cuerdo expuesto. </w:t>
      </w:r>
    </w:p>
    <w:p w14:paraId="1DE3846F" w14:textId="63CEF127" w:rsidR="00905BC2" w:rsidRPr="008E53B9" w:rsidRDefault="00915FAA" w:rsidP="00997C4B">
      <w:pPr>
        <w:spacing w:line="240" w:lineRule="auto"/>
        <w:jc w:val="both"/>
        <w:rPr>
          <w:bCs/>
        </w:rPr>
      </w:pPr>
      <w:r>
        <w:rPr>
          <w:bCs/>
        </w:rPr>
        <w:t>La Secretaria Técnica comenta que no hay más acuerdos en proceso</w:t>
      </w:r>
      <w:r w:rsidR="0022478D">
        <w:rPr>
          <w:bCs/>
        </w:rPr>
        <w:t xml:space="preserve">. </w:t>
      </w:r>
      <w:r w:rsidR="008E53B9">
        <w:rPr>
          <w:bCs/>
        </w:rPr>
        <w:t xml:space="preserve">El </w:t>
      </w:r>
      <w:proofErr w:type="gramStart"/>
      <w:r w:rsidR="008E53B9">
        <w:rPr>
          <w:bCs/>
        </w:rPr>
        <w:t>Presidente</w:t>
      </w:r>
      <w:proofErr w:type="gramEnd"/>
      <w:r w:rsidR="008E53B9">
        <w:rPr>
          <w:bCs/>
        </w:rPr>
        <w:t xml:space="preserve"> del Órgano de Gobierno agradece a la Secretaria Técnica el seguimiento, y consulta si existe alguna duda o comentario. Al no haberlos, continúa con el siguiente punto. </w:t>
      </w:r>
    </w:p>
    <w:p w14:paraId="65F43D2A" w14:textId="77777777" w:rsidR="00C254DD" w:rsidRPr="00C254DD" w:rsidRDefault="00C254DD" w:rsidP="00C254DD">
      <w:pPr>
        <w:pStyle w:val="Prrafodelista"/>
        <w:numPr>
          <w:ilvl w:val="0"/>
          <w:numId w:val="1"/>
        </w:numPr>
        <w:spacing w:line="240" w:lineRule="auto"/>
        <w:jc w:val="both"/>
      </w:pPr>
      <w:r w:rsidRPr="00C254DD">
        <w:rPr>
          <w:b/>
          <w:bCs/>
        </w:rPr>
        <w:t xml:space="preserve">Plan Institucional 2018-2022 de la Secretaría Ejecutiva </w:t>
      </w:r>
    </w:p>
    <w:p w14:paraId="3F00472F" w14:textId="39E63B76" w:rsidR="00745609" w:rsidRDefault="00AB6D90" w:rsidP="00C254DD">
      <w:pPr>
        <w:spacing w:line="240" w:lineRule="auto"/>
        <w:jc w:val="both"/>
      </w:pPr>
      <w:r>
        <w:t xml:space="preserve">La Secretaria Técnica </w:t>
      </w:r>
      <w:r w:rsidR="00C254DD">
        <w:t xml:space="preserve">señala que </w:t>
      </w:r>
      <w:r w:rsidR="006516E7">
        <w:t xml:space="preserve">el Plan Institucional 2018-2022 de la Secretaría Ejecutiva se relaciona con los trabajos desarrollados para la elaboración del Plan Estatal de Gobernanza y Desarrollo, </w:t>
      </w:r>
      <w:r w:rsidR="0023513E">
        <w:t xml:space="preserve">ya que por parte de la Secretaría de </w:t>
      </w:r>
      <w:r w:rsidR="004E56A1">
        <w:t xml:space="preserve">Planeación y Participación Ciudadana </w:t>
      </w:r>
      <w:r w:rsidR="00033FB6">
        <w:t xml:space="preserve">se solicitó que esta Secretaría Ejecutiva alineara su Plan Institucional </w:t>
      </w:r>
      <w:r w:rsidR="00552C7E">
        <w:t>y</w:t>
      </w:r>
      <w:r w:rsidR="22E59BB5">
        <w:t>,</w:t>
      </w:r>
      <w:r w:rsidR="00552C7E">
        <w:t xml:space="preserve"> de esta manera, est</w:t>
      </w:r>
      <w:r w:rsidR="5F5623CC">
        <w:t>é</w:t>
      </w:r>
      <w:r w:rsidR="00552C7E">
        <w:t xml:space="preserve"> vinculado adecuadamente al Eje Transversal “Corrupción e Impunidad”</w:t>
      </w:r>
      <w:r w:rsidR="00014538">
        <w:t xml:space="preserve"> dentro del Plan Estatal.</w:t>
      </w:r>
    </w:p>
    <w:p w14:paraId="08B7A80D" w14:textId="2FB22059" w:rsidR="00AB6D90" w:rsidRDefault="00745609" w:rsidP="00AB6D90">
      <w:pPr>
        <w:spacing w:line="240" w:lineRule="auto"/>
        <w:jc w:val="both"/>
      </w:pPr>
      <w:r>
        <w:t xml:space="preserve">La Secretaria Técnica recuerda </w:t>
      </w:r>
      <w:r w:rsidR="00F916F0">
        <w:t>que el 11 de septiembre del 2018 presentó un Plan Institucional</w:t>
      </w:r>
      <w:r w:rsidR="00723AA5">
        <w:t xml:space="preserve">, el cual se robusteció para incorporar los requerimientos </w:t>
      </w:r>
      <w:r w:rsidR="00930E8D">
        <w:t>solicitados por la S</w:t>
      </w:r>
      <w:r w:rsidR="4E345C28">
        <w:t>ecretaría de Planeación</w:t>
      </w:r>
      <w:r w:rsidR="003821D7">
        <w:t>, incluso en cuestiones de formato</w:t>
      </w:r>
      <w:r w:rsidR="28E596B7">
        <w:t>.</w:t>
      </w:r>
      <w:r w:rsidR="003821D7">
        <w:t xml:space="preserve"> </w:t>
      </w:r>
      <w:r w:rsidR="1182A071">
        <w:t>I</w:t>
      </w:r>
      <w:r w:rsidR="003821D7">
        <w:t xml:space="preserve">ndicó que se </w:t>
      </w:r>
      <w:proofErr w:type="spellStart"/>
      <w:r w:rsidR="00C536FD">
        <w:t>adapto</w:t>
      </w:r>
      <w:proofErr w:type="spellEnd"/>
      <w:r w:rsidR="00C536FD">
        <w:t xml:space="preserve"> al diseño gráfico para que así sea integrado en el del </w:t>
      </w:r>
      <w:r w:rsidR="3E261A45">
        <w:t xml:space="preserve">Ejecutivo </w:t>
      </w:r>
      <w:r w:rsidR="00C536FD">
        <w:t xml:space="preserve">del Estado. </w:t>
      </w:r>
    </w:p>
    <w:p w14:paraId="0DC431CC" w14:textId="231649FD" w:rsidR="00C536FD" w:rsidRDefault="00C536FD" w:rsidP="00AB6D90">
      <w:pPr>
        <w:spacing w:line="240" w:lineRule="auto"/>
        <w:jc w:val="both"/>
      </w:pPr>
      <w:r>
        <w:t xml:space="preserve">Señala la </w:t>
      </w:r>
      <w:r w:rsidR="00D91E55">
        <w:t xml:space="preserve">Secretaria Técnica que dicho documento fue enviado y comentado con los Enlaces </w:t>
      </w:r>
      <w:r w:rsidR="00DC7CA7">
        <w:t>y no se recibieron observaciones, por lo que somete a</w:t>
      </w:r>
      <w:r w:rsidR="00B7209D">
        <w:t xml:space="preserve"> consideración de los presentes la aprobación </w:t>
      </w:r>
      <w:proofErr w:type="gramStart"/>
      <w:r w:rsidR="00B7209D">
        <w:t>del mismo</w:t>
      </w:r>
      <w:proofErr w:type="gramEnd"/>
      <w:r w:rsidR="00B7209D">
        <w:t xml:space="preserve">. </w:t>
      </w:r>
    </w:p>
    <w:p w14:paraId="4E199036" w14:textId="1D99A5B6" w:rsidR="002001C8" w:rsidRDefault="00883DC9" w:rsidP="00AB6D90">
      <w:pPr>
        <w:spacing w:line="240" w:lineRule="auto"/>
        <w:jc w:val="both"/>
      </w:pPr>
      <w:r>
        <w:t xml:space="preserve">El </w:t>
      </w:r>
      <w:proofErr w:type="gramStart"/>
      <w:r>
        <w:t>Presidente</w:t>
      </w:r>
      <w:proofErr w:type="gramEnd"/>
      <w:r>
        <w:t xml:space="preserve"> </w:t>
      </w:r>
      <w:r w:rsidR="002F1E31">
        <w:t xml:space="preserve">del Órgano de Gobierno </w:t>
      </w:r>
      <w:r w:rsidR="002F09D1">
        <w:t xml:space="preserve">consulta si existe algún comentario al respecto. </w:t>
      </w:r>
      <w:r w:rsidR="00090986">
        <w:t xml:space="preserve">La </w:t>
      </w:r>
      <w:proofErr w:type="gramStart"/>
      <w:r w:rsidR="00090986">
        <w:t>Presidenta</w:t>
      </w:r>
      <w:proofErr w:type="gramEnd"/>
      <w:r w:rsidR="00090986">
        <w:t xml:space="preserve"> del ITEI </w:t>
      </w:r>
      <w:r w:rsidR="005E5E16">
        <w:t xml:space="preserve">consulta si el Plan Institucional que se presenta está alineado al Plan Nacional de Desarrollo. A lo anterior, la Secretaria Técnica responde </w:t>
      </w:r>
      <w:r w:rsidR="004A53B3">
        <w:t xml:space="preserve">que sí, ya que está vinculado al Plan Estatal de Gobernanza y Desarrollo, </w:t>
      </w:r>
      <w:r w:rsidR="002001C8">
        <w:t xml:space="preserve">y </w:t>
      </w:r>
      <w:r w:rsidR="57792703">
        <w:t>é</w:t>
      </w:r>
      <w:r w:rsidR="002001C8">
        <w:t xml:space="preserve">ste a su vez con el Plan Nacional de Desarrollo. </w:t>
      </w:r>
    </w:p>
    <w:p w14:paraId="47AF72ED" w14:textId="7212CD70" w:rsidR="00F77255" w:rsidRDefault="002001C8" w:rsidP="00AB6D90">
      <w:pPr>
        <w:spacing w:line="240" w:lineRule="auto"/>
        <w:jc w:val="both"/>
      </w:pPr>
      <w:r>
        <w:t xml:space="preserve">La </w:t>
      </w:r>
      <w:proofErr w:type="gramStart"/>
      <w:r>
        <w:t>Presidenta</w:t>
      </w:r>
      <w:proofErr w:type="gramEnd"/>
      <w:r>
        <w:t xml:space="preserve"> del ITEI responde que </w:t>
      </w:r>
      <w:r w:rsidR="0076279A">
        <w:t xml:space="preserve">la Secretaría de Planeación y Participación Ciudadana recomendó señalarlo expresamente, </w:t>
      </w:r>
      <w:r w:rsidR="006E565C">
        <w:t xml:space="preserve">y señala que también se solicitó </w:t>
      </w:r>
      <w:r w:rsidR="00FE2A7A">
        <w:t xml:space="preserve">un apartado donde se establezcan mecanismos de seguimiento y evaluación, lo </w:t>
      </w:r>
      <w:r w:rsidR="00FE2A7A">
        <w:lastRenderedPageBreak/>
        <w:t>cual considera fundamental</w:t>
      </w:r>
      <w:r w:rsidR="00B160BB">
        <w:t xml:space="preserve">, por lo que solicita que se </w:t>
      </w:r>
      <w:r w:rsidR="00F77255">
        <w:t xml:space="preserve">incluya en la versión final del documento. </w:t>
      </w:r>
    </w:p>
    <w:p w14:paraId="0DA29D92" w14:textId="02B26E13" w:rsidR="00A62B0C" w:rsidRDefault="00F77255" w:rsidP="00AB6D90">
      <w:pPr>
        <w:spacing w:line="240" w:lineRule="auto"/>
        <w:jc w:val="both"/>
      </w:pPr>
      <w:r>
        <w:t xml:space="preserve">El </w:t>
      </w:r>
      <w:proofErr w:type="gramStart"/>
      <w:r>
        <w:t>Presidente</w:t>
      </w:r>
      <w:proofErr w:type="gramEnd"/>
      <w:r>
        <w:t xml:space="preserve"> del Órgano de Gobierno somete </w:t>
      </w:r>
      <w:r w:rsidR="00AB3DDE">
        <w:t>la aprobación en términos generales del Plan Institucional 2018-2022 de la Secretaría Ejecutiva</w:t>
      </w:r>
      <w:r w:rsidR="00A62B0C">
        <w:t xml:space="preserve"> del Sistema Estatal Anticorrupción de Jalisco. A lo anterior se manifestaron a favor y fue aprobado el Acuerdo. </w:t>
      </w:r>
    </w:p>
    <w:p w14:paraId="08B6A343" w14:textId="3AA4AA5D" w:rsidR="00883DC9" w:rsidRDefault="00A62B0C" w:rsidP="00AB6D90">
      <w:pPr>
        <w:spacing w:line="240" w:lineRule="auto"/>
        <w:jc w:val="both"/>
      </w:pPr>
      <w:r>
        <w:t>La Secretaria T</w:t>
      </w:r>
      <w:r w:rsidR="0078394F">
        <w:t xml:space="preserve">écnica indica que se les hará llegar mediante sus Enlaces la versión final del documento aprobado, con las modificaciones sugeridas, </w:t>
      </w:r>
      <w:r w:rsidR="00E95E92">
        <w:t xml:space="preserve">para recabar las firmas correspondientes. </w:t>
      </w:r>
      <w:r w:rsidR="00883DC9">
        <w:t xml:space="preserve"> </w:t>
      </w:r>
    </w:p>
    <w:p w14:paraId="61A1FF14" w14:textId="77777777" w:rsidR="005D4846" w:rsidRDefault="005D4846" w:rsidP="00AB6D90">
      <w:pPr>
        <w:spacing w:line="240" w:lineRule="auto"/>
        <w:jc w:val="both"/>
      </w:pPr>
    </w:p>
    <w:p w14:paraId="22D1E70C" w14:textId="3883F146" w:rsidR="00F268AA" w:rsidRPr="00F268AA" w:rsidRDefault="00F268AA" w:rsidP="44F2C78C">
      <w:pPr>
        <w:pStyle w:val="Prrafodelista"/>
        <w:numPr>
          <w:ilvl w:val="0"/>
          <w:numId w:val="1"/>
        </w:numPr>
        <w:rPr>
          <w:b/>
          <w:bCs/>
        </w:rPr>
      </w:pPr>
      <w:r w:rsidRPr="44F2C78C">
        <w:rPr>
          <w:b/>
          <w:bCs/>
        </w:rPr>
        <w:t xml:space="preserve">Informe de </w:t>
      </w:r>
      <w:r w:rsidR="7C1FEA58" w:rsidRPr="44F2C78C">
        <w:rPr>
          <w:b/>
          <w:bCs/>
        </w:rPr>
        <w:t>a</w:t>
      </w:r>
      <w:r w:rsidRPr="44F2C78C">
        <w:rPr>
          <w:b/>
          <w:bCs/>
        </w:rPr>
        <w:t xml:space="preserve">ctividades de la Secretaría Ejecutiva </w:t>
      </w:r>
      <w:r w:rsidR="5D06D58A" w:rsidRPr="44F2C78C">
        <w:rPr>
          <w:b/>
          <w:bCs/>
        </w:rPr>
        <w:t>de a</w:t>
      </w:r>
      <w:r w:rsidRPr="44F2C78C">
        <w:rPr>
          <w:b/>
          <w:bCs/>
        </w:rPr>
        <w:t>bril</w:t>
      </w:r>
      <w:r w:rsidR="2107EE9C" w:rsidRPr="44F2C78C">
        <w:rPr>
          <w:b/>
          <w:bCs/>
        </w:rPr>
        <w:t xml:space="preserve"> a j</w:t>
      </w:r>
      <w:r w:rsidRPr="44F2C78C">
        <w:rPr>
          <w:b/>
          <w:bCs/>
        </w:rPr>
        <w:t>unio de 2019</w:t>
      </w:r>
    </w:p>
    <w:p w14:paraId="5059BCFE" w14:textId="732A3762" w:rsidR="00883DC9" w:rsidRDefault="00883DC9" w:rsidP="00AB6D90">
      <w:pPr>
        <w:spacing w:line="240" w:lineRule="auto"/>
        <w:jc w:val="both"/>
      </w:pPr>
      <w:r>
        <w:t xml:space="preserve">La Secretaria Técnica </w:t>
      </w:r>
      <w:r w:rsidR="002F1E31">
        <w:t xml:space="preserve">comenta </w:t>
      </w:r>
      <w:r w:rsidR="00F268AA">
        <w:t xml:space="preserve">que el “Informe de Actividades de la Secretaría Ejecutiva </w:t>
      </w:r>
      <w:r w:rsidR="684A02D8">
        <w:t>de a</w:t>
      </w:r>
      <w:r w:rsidR="00F268AA">
        <w:t>bril</w:t>
      </w:r>
      <w:r w:rsidR="6E60BA5A">
        <w:t xml:space="preserve"> a </w:t>
      </w:r>
      <w:r w:rsidR="00F268AA">
        <w:t xml:space="preserve">junio del 2019” </w:t>
      </w:r>
      <w:r w:rsidR="002640BF">
        <w:t>fue entregado en versión impresa mediante oficio</w:t>
      </w:r>
      <w:r w:rsidR="3D6B046C">
        <w:t xml:space="preserve"> </w:t>
      </w:r>
      <w:r w:rsidR="002640BF">
        <w:t xml:space="preserve">entre el 26 de julio </w:t>
      </w:r>
      <w:r w:rsidR="544CA679">
        <w:t>y e</w:t>
      </w:r>
      <w:r w:rsidR="002640BF">
        <w:t xml:space="preserve">l 5 de agosto, por el periodo vacacional de </w:t>
      </w:r>
      <w:r w:rsidR="00216FD3">
        <w:t xml:space="preserve">las instituciones. </w:t>
      </w:r>
    </w:p>
    <w:p w14:paraId="2813EB02" w14:textId="5E66FD4C" w:rsidR="00216FD3" w:rsidRDefault="00216FD3" w:rsidP="00AB6D90">
      <w:pPr>
        <w:spacing w:line="240" w:lineRule="auto"/>
        <w:jc w:val="both"/>
      </w:pPr>
      <w:r>
        <w:t xml:space="preserve">La Secretaria Técnica considera que es un documento por todos conocido, </w:t>
      </w:r>
      <w:r w:rsidR="00E5035A">
        <w:t xml:space="preserve">por lo que solicita al </w:t>
      </w:r>
      <w:proofErr w:type="gramStart"/>
      <w:r w:rsidR="00E5035A">
        <w:t>Presidente</w:t>
      </w:r>
      <w:proofErr w:type="gramEnd"/>
      <w:r w:rsidR="00E5035A">
        <w:t xml:space="preserve"> </w:t>
      </w:r>
      <w:r w:rsidR="14F52931">
        <w:t>-</w:t>
      </w:r>
      <w:r w:rsidR="00E5035A">
        <w:t xml:space="preserve">si </w:t>
      </w:r>
      <w:r w:rsidR="00B66053">
        <w:t>los presentes lo tienen a bien</w:t>
      </w:r>
      <w:r w:rsidR="0964D0C2">
        <w:t>-</w:t>
      </w:r>
      <w:r w:rsidR="00B66053">
        <w:t xml:space="preserve"> someterlo a aprobación.</w:t>
      </w:r>
    </w:p>
    <w:p w14:paraId="35809C7B" w14:textId="32389E01" w:rsidR="00B66053" w:rsidRDefault="00B66053" w:rsidP="00AB6D90">
      <w:pPr>
        <w:spacing w:line="240" w:lineRule="auto"/>
        <w:jc w:val="both"/>
      </w:pPr>
      <w:r>
        <w:t xml:space="preserve">La </w:t>
      </w:r>
      <w:proofErr w:type="gramStart"/>
      <w:r>
        <w:t>Presidenta</w:t>
      </w:r>
      <w:proofErr w:type="gramEnd"/>
      <w:r>
        <w:t xml:space="preserve"> del ITEI consulta si</w:t>
      </w:r>
      <w:r w:rsidR="00655058">
        <w:t xml:space="preserve"> se requiere aprobar el documento. La Secretaria Técnica responde que sí. Por lo anterior, la </w:t>
      </w:r>
      <w:proofErr w:type="gramStart"/>
      <w:r w:rsidR="00655058">
        <w:t>Presidenta</w:t>
      </w:r>
      <w:proofErr w:type="gramEnd"/>
      <w:r w:rsidR="00655058">
        <w:t xml:space="preserve"> del ITEI reitera la solicitud hecha de especificar en cada punto del orden del día</w:t>
      </w:r>
      <w:r w:rsidR="7E89C783">
        <w:t xml:space="preserve"> qué</w:t>
      </w:r>
      <w:r w:rsidR="00655058">
        <w:t xml:space="preserve"> se requiere en específico. </w:t>
      </w:r>
    </w:p>
    <w:p w14:paraId="295B0D49" w14:textId="77F92C3A" w:rsidR="00655058" w:rsidRDefault="00655058" w:rsidP="00AB6D90">
      <w:pPr>
        <w:spacing w:line="240" w:lineRule="auto"/>
        <w:jc w:val="both"/>
      </w:pPr>
      <w:r>
        <w:t xml:space="preserve">El </w:t>
      </w:r>
      <w:r w:rsidR="00724BA2">
        <w:t>Fiscal Especializado felicita a la Secretaría Ejecutiva por la labor que se realizó</w:t>
      </w:r>
      <w:r w:rsidR="4EF7ED09">
        <w:t xml:space="preserve"> y </w:t>
      </w:r>
      <w:r w:rsidR="00D13C23">
        <w:t>por el informe que se les entregó</w:t>
      </w:r>
      <w:r w:rsidR="3C53949D">
        <w:t>,</w:t>
      </w:r>
      <w:r w:rsidR="00D13C23">
        <w:t xml:space="preserve"> ya que lo consider</w:t>
      </w:r>
      <w:r w:rsidR="005A4CFD">
        <w:t>a</w:t>
      </w:r>
      <w:r w:rsidR="00D13C23">
        <w:t xml:space="preserve"> </w:t>
      </w:r>
      <w:r w:rsidR="00055187">
        <w:t xml:space="preserve">que es un documento bastante completo. </w:t>
      </w:r>
    </w:p>
    <w:p w14:paraId="1DB43777" w14:textId="04270D90" w:rsidR="002F1E31" w:rsidRDefault="00F9345B" w:rsidP="00AB6D90">
      <w:pPr>
        <w:spacing w:line="240" w:lineRule="auto"/>
        <w:jc w:val="both"/>
      </w:pPr>
      <w:r>
        <w:t xml:space="preserve">El </w:t>
      </w:r>
      <w:proofErr w:type="gramStart"/>
      <w:r>
        <w:t>Presidente</w:t>
      </w:r>
      <w:proofErr w:type="gramEnd"/>
      <w:r>
        <w:t xml:space="preserve"> del Órgano de Gobierno somete a aprobación el informe, y con la votación expresa de los presentes es aprobado. </w:t>
      </w:r>
      <w:r w:rsidR="005A4CFD">
        <w:t xml:space="preserve">La Secretaria Técnica agradece </w:t>
      </w:r>
      <w:r>
        <w:t xml:space="preserve">la felicitación y </w:t>
      </w:r>
      <w:r w:rsidR="006F7C90">
        <w:t xml:space="preserve">recapitula el </w:t>
      </w:r>
      <w:r w:rsidR="046D470B">
        <w:t>a</w:t>
      </w:r>
      <w:r w:rsidR="006F7C90">
        <w:t xml:space="preserve">cuerdo: </w:t>
      </w:r>
    </w:p>
    <w:p w14:paraId="25C085E2" w14:textId="655154E5" w:rsidR="002F1E31" w:rsidRDefault="005F711C" w:rsidP="00AB6D90">
      <w:pPr>
        <w:spacing w:line="240" w:lineRule="auto"/>
        <w:jc w:val="both"/>
      </w:pPr>
      <w:r>
        <w:t xml:space="preserve">Se le tiene por presentando y se aprueba por unanimidad el Informe de </w:t>
      </w:r>
      <w:r w:rsidR="498D3CC3">
        <w:t>A</w:t>
      </w:r>
      <w:r>
        <w:t>ctividades de la Secret</w:t>
      </w:r>
      <w:r w:rsidR="371B7B23">
        <w:t>aría</w:t>
      </w:r>
      <w:r>
        <w:t xml:space="preserve"> Ejecutiva correspondiente al periodo de abril a junio de 2019.</w:t>
      </w:r>
    </w:p>
    <w:p w14:paraId="0EDC9D15" w14:textId="01A60717" w:rsidR="00F46149" w:rsidRPr="00F46149" w:rsidRDefault="00F46149" w:rsidP="00F46149">
      <w:pPr>
        <w:pStyle w:val="Prrafodelista"/>
        <w:numPr>
          <w:ilvl w:val="0"/>
          <w:numId w:val="1"/>
        </w:numPr>
        <w:spacing w:line="240" w:lineRule="auto"/>
        <w:jc w:val="both"/>
        <w:rPr>
          <w:b/>
          <w:bCs/>
        </w:rPr>
      </w:pPr>
      <w:r w:rsidRPr="00F46149">
        <w:rPr>
          <w:b/>
          <w:bCs/>
        </w:rPr>
        <w:t xml:space="preserve">Transferencias presupuestarias </w:t>
      </w:r>
    </w:p>
    <w:p w14:paraId="663D95D0" w14:textId="3C515A11" w:rsidR="002F1E31" w:rsidRDefault="002F1E31" w:rsidP="002F1E31">
      <w:pPr>
        <w:spacing w:line="240" w:lineRule="auto"/>
        <w:jc w:val="both"/>
      </w:pPr>
      <w:r>
        <w:t xml:space="preserve">La Secretaria Técnica </w:t>
      </w:r>
      <w:r w:rsidR="00F76E89">
        <w:t xml:space="preserve">resalta que se elaboró la propuesta de transferencias presupuestarias </w:t>
      </w:r>
      <w:r w:rsidR="007E1766">
        <w:t>y se les envió la información relativa</w:t>
      </w:r>
      <w:r w:rsidR="37D2B36B">
        <w:t>;</w:t>
      </w:r>
      <w:r w:rsidR="00190451">
        <w:t xml:space="preserve"> señala que</w:t>
      </w:r>
      <w:r w:rsidR="002B0B50">
        <w:t xml:space="preserve"> conforme al transcurso del ejercicio presupuestario se requieren adecuaciones</w:t>
      </w:r>
      <w:r w:rsidR="007E1766">
        <w:t xml:space="preserve"> </w:t>
      </w:r>
      <w:r w:rsidR="007978AF">
        <w:t>y</w:t>
      </w:r>
      <w:r w:rsidR="0022381C">
        <w:t xml:space="preserve"> dio lectura a la propuesta elaborada: </w:t>
      </w:r>
    </w:p>
    <w:p w14:paraId="5465E2C0" w14:textId="38C9EE8E" w:rsidR="0022381C" w:rsidRDefault="0022381C" w:rsidP="002F1E31">
      <w:pPr>
        <w:spacing w:line="240" w:lineRule="auto"/>
        <w:jc w:val="both"/>
      </w:pPr>
      <w:r>
        <w:lastRenderedPageBreak/>
        <w:t>Señala que respecto al Capítulo 1000</w:t>
      </w:r>
      <w:r w:rsidR="41C0BF0F">
        <w:t>,</w:t>
      </w:r>
      <w:r>
        <w:t xml:space="preserve"> </w:t>
      </w:r>
      <w:r w:rsidR="00AF77EE">
        <w:t xml:space="preserve">Servicios </w:t>
      </w:r>
      <w:r w:rsidR="00795734">
        <w:t>p</w:t>
      </w:r>
      <w:r w:rsidR="00AF77EE">
        <w:t xml:space="preserve">ersonales, </w:t>
      </w:r>
      <w:r w:rsidR="004D309B">
        <w:t xml:space="preserve">que derivado del acuerdo del 5 de marzo del 2019, </w:t>
      </w:r>
      <w:r w:rsidR="0F2EA255">
        <w:t>en el cual</w:t>
      </w:r>
      <w:r w:rsidR="004D309B">
        <w:t xml:space="preserve"> se autorizó utilizar el recurso no ejercido de enero y febrero </w:t>
      </w:r>
      <w:r w:rsidR="00BC7E0F">
        <w:t xml:space="preserve">en la contratación de personal de honorarios asimilables a salarios, </w:t>
      </w:r>
      <w:r w:rsidR="00A1099D">
        <w:t xml:space="preserve">derivado de ello, somete </w:t>
      </w:r>
      <w:r w:rsidR="001C299E">
        <w:t xml:space="preserve">que se apruebe que la partida </w:t>
      </w:r>
      <w:r w:rsidR="00332340">
        <w:t>121</w:t>
      </w:r>
      <w:r w:rsidR="28E15885">
        <w:t>,</w:t>
      </w:r>
      <w:r w:rsidR="00332340">
        <w:t xml:space="preserve"> Honorarios asimilables a salarios, </w:t>
      </w:r>
      <w:r w:rsidR="00696D53">
        <w:t xml:space="preserve">tenga </w:t>
      </w:r>
      <w:r w:rsidR="00796C53">
        <w:t xml:space="preserve">suficiencia presupuestaria de </w:t>
      </w:r>
      <w:r w:rsidR="007D3E61">
        <w:t xml:space="preserve">$4,158,000.00 pesos. </w:t>
      </w:r>
    </w:p>
    <w:p w14:paraId="406678F0" w14:textId="2F18E211" w:rsidR="007D3E61" w:rsidRDefault="007D3E61" w:rsidP="002F1E31">
      <w:pPr>
        <w:spacing w:line="240" w:lineRule="auto"/>
        <w:jc w:val="both"/>
      </w:pPr>
      <w:r>
        <w:t xml:space="preserve">La </w:t>
      </w:r>
      <w:proofErr w:type="gramStart"/>
      <w:r>
        <w:t>Presidenta</w:t>
      </w:r>
      <w:proofErr w:type="gramEnd"/>
      <w:r>
        <w:t xml:space="preserve"> del ITEI consulta ¿cuánto se está aprobando? El </w:t>
      </w:r>
      <w:proofErr w:type="gramStart"/>
      <w:r>
        <w:t>Presidente</w:t>
      </w:r>
      <w:proofErr w:type="gramEnd"/>
      <w:r>
        <w:t xml:space="preserve"> del TJA</w:t>
      </w:r>
      <w:r w:rsidR="00DE4A57">
        <w:t xml:space="preserve"> comenta que entiende que únicamente se está transfiriendo </w:t>
      </w:r>
      <w:r w:rsidR="005641B8">
        <w:t>del personal de base a asimilables a salarios</w:t>
      </w:r>
      <w:r w:rsidR="2CD2EABF">
        <w:t>;</w:t>
      </w:r>
      <w:r w:rsidR="005641B8">
        <w:t xml:space="preserve"> sin embargo</w:t>
      </w:r>
      <w:r w:rsidR="003965B6">
        <w:t>, considera importante que se conociera también las áreas en las que apoya dicho personal</w:t>
      </w:r>
      <w:r w:rsidR="001B0721">
        <w:t>, así como los nombres</w:t>
      </w:r>
      <w:r w:rsidR="003965B6">
        <w:t xml:space="preserve">, </w:t>
      </w:r>
      <w:r w:rsidR="002E02A0">
        <w:t>ya que no se está hablando de una cantidad menor</w:t>
      </w:r>
      <w:r w:rsidR="00FC66D8">
        <w:t xml:space="preserve"> y</w:t>
      </w:r>
      <w:r w:rsidR="002E02A0">
        <w:t xml:space="preserve"> se manifiesta de acuerdo en que existen áreas las cuales se requiere fortalecer</w:t>
      </w:r>
      <w:r w:rsidR="001B0721">
        <w:t xml:space="preserve">. </w:t>
      </w:r>
      <w:r w:rsidR="00FC66D8">
        <w:t xml:space="preserve">El </w:t>
      </w:r>
      <w:proofErr w:type="gramStart"/>
      <w:r w:rsidR="00FC66D8">
        <w:t>Presidente</w:t>
      </w:r>
      <w:proofErr w:type="gramEnd"/>
      <w:r w:rsidR="00FC66D8">
        <w:t xml:space="preserve"> del TJA expresa su preocupación </w:t>
      </w:r>
      <w:r w:rsidR="00B933E0">
        <w:t>de que se tenga de manera genérica la información</w:t>
      </w:r>
      <w:r w:rsidR="00F86D66">
        <w:t xml:space="preserve">. </w:t>
      </w:r>
    </w:p>
    <w:p w14:paraId="2DB53D13" w14:textId="220B43C5" w:rsidR="007D725C" w:rsidRDefault="00F86D66" w:rsidP="002F1E31">
      <w:pPr>
        <w:spacing w:line="240" w:lineRule="auto"/>
        <w:jc w:val="both"/>
      </w:pPr>
      <w:r>
        <w:t xml:space="preserve">La Contralora del Estado resalta que es derivado de un acuerdo de la Sesión del </w:t>
      </w:r>
      <w:r w:rsidR="007D725C">
        <w:t xml:space="preserve">5 de marzo. La </w:t>
      </w:r>
      <w:proofErr w:type="gramStart"/>
      <w:r w:rsidR="007D725C">
        <w:t>Presidenta</w:t>
      </w:r>
      <w:proofErr w:type="gramEnd"/>
      <w:r w:rsidR="007D725C">
        <w:t xml:space="preserve"> del ITEI consulta la cantidad de contratos por honorarios asimilables a salarios que se aprobaron. La Secretaria Técnica responde que son 16</w:t>
      </w:r>
      <w:r w:rsidR="007D12F9">
        <w:t xml:space="preserve">. </w:t>
      </w:r>
    </w:p>
    <w:p w14:paraId="2413B039" w14:textId="7E0738EC" w:rsidR="006C7422" w:rsidRPr="00737AA6" w:rsidRDefault="006C7422" w:rsidP="44F2C78C">
      <w:pPr>
        <w:spacing w:line="240" w:lineRule="auto"/>
        <w:jc w:val="both"/>
        <w:rPr>
          <w:color w:val="000000" w:themeColor="text1"/>
        </w:rPr>
      </w:pPr>
      <w:r w:rsidRPr="00737AA6">
        <w:rPr>
          <w:color w:val="000000" w:themeColor="text1"/>
        </w:rPr>
        <w:t xml:space="preserve">La </w:t>
      </w:r>
      <w:proofErr w:type="gramStart"/>
      <w:r w:rsidRPr="00737AA6">
        <w:rPr>
          <w:color w:val="000000" w:themeColor="text1"/>
        </w:rPr>
        <w:t>Presidenta</w:t>
      </w:r>
      <w:proofErr w:type="gramEnd"/>
      <w:r w:rsidRPr="00737AA6">
        <w:rPr>
          <w:color w:val="000000" w:themeColor="text1"/>
        </w:rPr>
        <w:t xml:space="preserve"> del ITEI </w:t>
      </w:r>
      <w:r w:rsidR="00CD705F" w:rsidRPr="00737AA6">
        <w:rPr>
          <w:color w:val="000000" w:themeColor="text1"/>
        </w:rPr>
        <w:t xml:space="preserve">consulta si a partir de la aprobación se realizaría la contratación. La Secretaria Técnica </w:t>
      </w:r>
      <w:r w:rsidR="005356A8" w:rsidRPr="00737AA6">
        <w:rPr>
          <w:color w:val="000000" w:themeColor="text1"/>
        </w:rPr>
        <w:t>responde que es personal que ya se encuentra laborando, a partir de la aprobación del 5 de marzo del 2019. A</w:t>
      </w:r>
      <w:r w:rsidR="005854E0" w:rsidRPr="00737AA6">
        <w:rPr>
          <w:color w:val="000000" w:themeColor="text1"/>
        </w:rPr>
        <w:t xml:space="preserve"> lo anterior, la </w:t>
      </w:r>
      <w:proofErr w:type="gramStart"/>
      <w:r w:rsidR="005854E0" w:rsidRPr="00737AA6">
        <w:rPr>
          <w:color w:val="000000" w:themeColor="text1"/>
        </w:rPr>
        <w:t>Presidenta</w:t>
      </w:r>
      <w:proofErr w:type="gramEnd"/>
      <w:r w:rsidR="005854E0" w:rsidRPr="00737AA6">
        <w:rPr>
          <w:color w:val="000000" w:themeColor="text1"/>
        </w:rPr>
        <w:t xml:space="preserve"> del ITEI consulta para qué es la transferencia. La Secretaria Técnica responde que para dar suficiencia a la partida </w:t>
      </w:r>
      <w:r w:rsidR="008D4745" w:rsidRPr="00737AA6">
        <w:rPr>
          <w:color w:val="000000" w:themeColor="text1"/>
        </w:rPr>
        <w:t>y</w:t>
      </w:r>
      <w:r w:rsidR="0247CFB1" w:rsidRPr="00737AA6">
        <w:rPr>
          <w:color w:val="000000" w:themeColor="text1"/>
        </w:rPr>
        <w:t>,</w:t>
      </w:r>
      <w:r w:rsidR="008D4745" w:rsidRPr="00737AA6">
        <w:rPr>
          <w:color w:val="000000" w:themeColor="text1"/>
        </w:rPr>
        <w:t xml:space="preserve"> de esta manera</w:t>
      </w:r>
      <w:r w:rsidR="72CF8725" w:rsidRPr="00737AA6">
        <w:rPr>
          <w:color w:val="000000" w:themeColor="text1"/>
        </w:rPr>
        <w:t>,</w:t>
      </w:r>
      <w:r w:rsidR="008D4745" w:rsidRPr="00737AA6">
        <w:rPr>
          <w:color w:val="000000" w:themeColor="text1"/>
        </w:rPr>
        <w:t xml:space="preserve"> regularizar </w:t>
      </w:r>
      <w:r w:rsidR="00415A4C" w:rsidRPr="00737AA6">
        <w:rPr>
          <w:color w:val="000000" w:themeColor="text1"/>
        </w:rPr>
        <w:t xml:space="preserve">lo correspondiente. </w:t>
      </w:r>
      <w:r w:rsidR="005356A8" w:rsidRPr="00737AA6">
        <w:rPr>
          <w:color w:val="000000" w:themeColor="text1"/>
        </w:rPr>
        <w:t xml:space="preserve"> </w:t>
      </w:r>
    </w:p>
    <w:p w14:paraId="412C3607" w14:textId="738706C1" w:rsidR="00BA35B8" w:rsidRDefault="00BA35B8" w:rsidP="44F2C78C">
      <w:pPr>
        <w:spacing w:line="240" w:lineRule="auto"/>
        <w:jc w:val="both"/>
        <w:rPr>
          <w:color w:val="000000" w:themeColor="text1"/>
        </w:rPr>
      </w:pPr>
      <w:r w:rsidRPr="44F2C78C">
        <w:rPr>
          <w:color w:val="000000" w:themeColor="text1"/>
        </w:rPr>
        <w:t xml:space="preserve">La </w:t>
      </w:r>
      <w:proofErr w:type="gramStart"/>
      <w:r w:rsidRPr="44F2C78C">
        <w:rPr>
          <w:color w:val="000000" w:themeColor="text1"/>
        </w:rPr>
        <w:t>Presidenta</w:t>
      </w:r>
      <w:proofErr w:type="gramEnd"/>
      <w:r w:rsidRPr="44F2C78C">
        <w:rPr>
          <w:color w:val="000000" w:themeColor="text1"/>
        </w:rPr>
        <w:t xml:space="preserve"> del ITEI se suma a la petición del Presidente del TJA</w:t>
      </w:r>
      <w:r w:rsidR="02EEB782" w:rsidRPr="44F2C78C">
        <w:rPr>
          <w:color w:val="000000" w:themeColor="text1"/>
        </w:rPr>
        <w:t>;</w:t>
      </w:r>
      <w:r w:rsidRPr="44F2C78C">
        <w:rPr>
          <w:color w:val="000000" w:themeColor="text1"/>
        </w:rPr>
        <w:t xml:space="preserve"> solicita el listado y las funciones. </w:t>
      </w:r>
      <w:r w:rsidR="00920BA9" w:rsidRPr="44F2C78C">
        <w:rPr>
          <w:color w:val="000000" w:themeColor="text1"/>
        </w:rPr>
        <w:t>La Secretaria Técnica consulta por qué medio requieren que se haga llegar la información solicitada</w:t>
      </w:r>
      <w:r w:rsidR="4989A634" w:rsidRPr="44F2C78C">
        <w:rPr>
          <w:color w:val="000000" w:themeColor="text1"/>
        </w:rPr>
        <w:t xml:space="preserve"> y</w:t>
      </w:r>
      <w:r w:rsidR="0066415C" w:rsidRPr="44F2C78C">
        <w:rPr>
          <w:color w:val="000000" w:themeColor="text1"/>
        </w:rPr>
        <w:t xml:space="preserve"> les recuerda que existe un </w:t>
      </w:r>
      <w:r w:rsidR="1D077869" w:rsidRPr="44F2C78C">
        <w:rPr>
          <w:color w:val="000000" w:themeColor="text1"/>
        </w:rPr>
        <w:t>a</w:t>
      </w:r>
      <w:r w:rsidR="0066415C" w:rsidRPr="44F2C78C">
        <w:rPr>
          <w:color w:val="000000" w:themeColor="text1"/>
        </w:rPr>
        <w:t xml:space="preserve">cuerdo previo, </w:t>
      </w:r>
      <w:proofErr w:type="gramStart"/>
      <w:r w:rsidR="0066415C" w:rsidRPr="44F2C78C">
        <w:rPr>
          <w:color w:val="000000" w:themeColor="text1"/>
        </w:rPr>
        <w:t>en relación</w:t>
      </w:r>
      <w:r w:rsidR="00E45E7F" w:rsidRPr="44F2C78C">
        <w:rPr>
          <w:color w:val="000000" w:themeColor="text1"/>
        </w:rPr>
        <w:t xml:space="preserve"> a</w:t>
      </w:r>
      <w:r w:rsidR="0066415C" w:rsidRPr="44F2C78C">
        <w:rPr>
          <w:color w:val="000000" w:themeColor="text1"/>
        </w:rPr>
        <w:t>l</w:t>
      </w:r>
      <w:proofErr w:type="gramEnd"/>
      <w:r w:rsidR="0066415C" w:rsidRPr="44F2C78C">
        <w:rPr>
          <w:color w:val="000000" w:themeColor="text1"/>
        </w:rPr>
        <w:t xml:space="preserve"> uso de una nube</w:t>
      </w:r>
      <w:r w:rsidR="0021F5DA" w:rsidRPr="44F2C78C">
        <w:rPr>
          <w:color w:val="000000" w:themeColor="text1"/>
        </w:rPr>
        <w:t>,</w:t>
      </w:r>
      <w:r w:rsidR="0066415C" w:rsidRPr="44F2C78C">
        <w:rPr>
          <w:color w:val="000000" w:themeColor="text1"/>
        </w:rPr>
        <w:t xml:space="preserve"> en </w:t>
      </w:r>
      <w:r w:rsidR="1ABE644D" w:rsidRPr="44F2C78C">
        <w:rPr>
          <w:color w:val="000000" w:themeColor="text1"/>
        </w:rPr>
        <w:t xml:space="preserve">la cual </w:t>
      </w:r>
      <w:r w:rsidR="0066415C" w:rsidRPr="44F2C78C">
        <w:rPr>
          <w:color w:val="000000" w:themeColor="text1"/>
        </w:rPr>
        <w:t xml:space="preserve">los Enlaces acceden para descargar la información correspondiente, </w:t>
      </w:r>
      <w:r w:rsidR="00D45F98" w:rsidRPr="44F2C78C">
        <w:rPr>
          <w:color w:val="000000" w:themeColor="text1"/>
        </w:rPr>
        <w:t xml:space="preserve">por cuestiones de capacidades del correo electrónico. </w:t>
      </w:r>
    </w:p>
    <w:p w14:paraId="5A8B11D9" w14:textId="34F1091A" w:rsidR="00D45F98" w:rsidRDefault="00D45F98" w:rsidP="44F2C78C">
      <w:pPr>
        <w:spacing w:line="240" w:lineRule="auto"/>
        <w:jc w:val="both"/>
        <w:rPr>
          <w:color w:val="000000" w:themeColor="text1"/>
        </w:rPr>
      </w:pPr>
      <w:r w:rsidRPr="44F2C78C">
        <w:rPr>
          <w:color w:val="000000" w:themeColor="text1"/>
        </w:rPr>
        <w:t xml:space="preserve">La </w:t>
      </w:r>
      <w:proofErr w:type="gramStart"/>
      <w:r w:rsidRPr="44F2C78C">
        <w:rPr>
          <w:color w:val="000000" w:themeColor="text1"/>
        </w:rPr>
        <w:t>Presidenta</w:t>
      </w:r>
      <w:proofErr w:type="gramEnd"/>
      <w:r w:rsidRPr="44F2C78C">
        <w:rPr>
          <w:color w:val="000000" w:themeColor="text1"/>
        </w:rPr>
        <w:t xml:space="preserve"> del ITEI </w:t>
      </w:r>
      <w:r w:rsidR="00E45E7F" w:rsidRPr="44F2C78C">
        <w:rPr>
          <w:color w:val="000000" w:themeColor="text1"/>
        </w:rPr>
        <w:t>considera que puede ser por cualquier medio, ya que únicamente es el listado de personas, salario</w:t>
      </w:r>
      <w:r w:rsidR="00E45E7F" w:rsidRPr="00737AA6">
        <w:rPr>
          <w:color w:val="000000" w:themeColor="text1"/>
        </w:rPr>
        <w:t xml:space="preserve">s y funciones. </w:t>
      </w:r>
      <w:r w:rsidR="00FF41AD" w:rsidRPr="00737AA6">
        <w:rPr>
          <w:color w:val="000000" w:themeColor="text1"/>
        </w:rPr>
        <w:t xml:space="preserve">La Secretaria Técnica responde que hace la aclaración para dejarlo establecido. A lo anterior, todos los </w:t>
      </w:r>
      <w:r w:rsidR="6FCFCF86" w:rsidRPr="00737AA6">
        <w:rPr>
          <w:color w:val="000000" w:themeColor="text1"/>
        </w:rPr>
        <w:t>i</w:t>
      </w:r>
      <w:r w:rsidR="00FF41AD" w:rsidRPr="00737AA6">
        <w:rPr>
          <w:color w:val="000000" w:themeColor="text1"/>
        </w:rPr>
        <w:t>ntegrantes acuerdan que se les haga llegar la información solicitada por correo electrónico.</w:t>
      </w:r>
      <w:r w:rsidR="00FF41AD" w:rsidRPr="44F2C78C">
        <w:rPr>
          <w:color w:val="000000" w:themeColor="text1"/>
        </w:rPr>
        <w:t xml:space="preserve"> </w:t>
      </w:r>
    </w:p>
    <w:p w14:paraId="43D07DEA" w14:textId="3464763B" w:rsidR="00FF41AD" w:rsidRDefault="00FF41AD" w:rsidP="44F2C78C">
      <w:pPr>
        <w:spacing w:line="240" w:lineRule="auto"/>
        <w:jc w:val="both"/>
        <w:rPr>
          <w:color w:val="000000" w:themeColor="text1"/>
        </w:rPr>
      </w:pPr>
      <w:r w:rsidRPr="44F2C78C">
        <w:rPr>
          <w:color w:val="000000" w:themeColor="text1"/>
        </w:rPr>
        <w:t>Conti</w:t>
      </w:r>
      <w:r w:rsidR="434D8D64" w:rsidRPr="44F2C78C">
        <w:rPr>
          <w:color w:val="000000" w:themeColor="text1"/>
        </w:rPr>
        <w:t>núa</w:t>
      </w:r>
      <w:r w:rsidRPr="44F2C78C">
        <w:rPr>
          <w:color w:val="000000" w:themeColor="text1"/>
        </w:rPr>
        <w:t xml:space="preserve"> la Secretaria Técnica con la solicitud de aprobación de transferencias presupuestarias del Capítulo 2000</w:t>
      </w:r>
      <w:r w:rsidR="514B0432" w:rsidRPr="44F2C78C">
        <w:rPr>
          <w:color w:val="000000" w:themeColor="text1"/>
        </w:rPr>
        <w:t>,</w:t>
      </w:r>
      <w:r w:rsidRPr="44F2C78C">
        <w:rPr>
          <w:color w:val="000000" w:themeColor="text1"/>
        </w:rPr>
        <w:t xml:space="preserve"> </w:t>
      </w:r>
      <w:r w:rsidR="00795734" w:rsidRPr="44F2C78C">
        <w:rPr>
          <w:color w:val="000000" w:themeColor="text1"/>
        </w:rPr>
        <w:t>Materiales y suministros</w:t>
      </w:r>
      <w:r w:rsidR="61D82CB8" w:rsidRPr="44F2C78C">
        <w:rPr>
          <w:color w:val="000000" w:themeColor="text1"/>
        </w:rPr>
        <w:t>;</w:t>
      </w:r>
      <w:r w:rsidR="00795734" w:rsidRPr="44F2C78C">
        <w:rPr>
          <w:color w:val="000000" w:themeColor="text1"/>
        </w:rPr>
        <w:t xml:space="preserve"> </w:t>
      </w:r>
      <w:r w:rsidR="00386B1C" w:rsidRPr="44F2C78C">
        <w:rPr>
          <w:color w:val="000000" w:themeColor="text1"/>
        </w:rPr>
        <w:t>señala que la</w:t>
      </w:r>
      <w:r w:rsidR="00470AD8" w:rsidRPr="44F2C78C">
        <w:rPr>
          <w:color w:val="000000" w:themeColor="text1"/>
        </w:rPr>
        <w:t>s</w:t>
      </w:r>
      <w:r w:rsidR="00386B1C" w:rsidRPr="44F2C78C">
        <w:rPr>
          <w:color w:val="000000" w:themeColor="text1"/>
        </w:rPr>
        <w:t xml:space="preserve"> partida</w:t>
      </w:r>
      <w:r w:rsidR="00470AD8" w:rsidRPr="44F2C78C">
        <w:rPr>
          <w:color w:val="000000" w:themeColor="text1"/>
        </w:rPr>
        <w:t>s</w:t>
      </w:r>
      <w:r w:rsidR="00386B1C" w:rsidRPr="44F2C78C">
        <w:rPr>
          <w:color w:val="000000" w:themeColor="text1"/>
        </w:rPr>
        <w:t xml:space="preserve"> de origen</w:t>
      </w:r>
      <w:r w:rsidR="00F03248" w:rsidRPr="44F2C78C">
        <w:rPr>
          <w:color w:val="000000" w:themeColor="text1"/>
        </w:rPr>
        <w:t xml:space="preserve"> </w:t>
      </w:r>
      <w:r w:rsidR="00470AD8" w:rsidRPr="44F2C78C">
        <w:rPr>
          <w:color w:val="000000" w:themeColor="text1"/>
        </w:rPr>
        <w:t>son</w:t>
      </w:r>
      <w:r w:rsidR="00F03248" w:rsidRPr="44F2C78C">
        <w:rPr>
          <w:color w:val="000000" w:themeColor="text1"/>
        </w:rPr>
        <w:t xml:space="preserve"> la </w:t>
      </w:r>
      <w:r w:rsidR="00D85591" w:rsidRPr="44F2C78C">
        <w:rPr>
          <w:color w:val="000000" w:themeColor="text1"/>
        </w:rPr>
        <w:t>214</w:t>
      </w:r>
      <w:r w:rsidR="1C0DC96F" w:rsidRPr="44F2C78C">
        <w:rPr>
          <w:color w:val="000000" w:themeColor="text1"/>
        </w:rPr>
        <w:t>,</w:t>
      </w:r>
      <w:r w:rsidR="00D85591" w:rsidRPr="44F2C78C">
        <w:rPr>
          <w:color w:val="000000" w:themeColor="text1"/>
        </w:rPr>
        <w:t xml:space="preserve"> Materiales y útiles menores de tecnología de la información y comunicaciones</w:t>
      </w:r>
      <w:r w:rsidR="00470AD8" w:rsidRPr="44F2C78C">
        <w:rPr>
          <w:color w:val="000000" w:themeColor="text1"/>
        </w:rPr>
        <w:t xml:space="preserve"> y </w:t>
      </w:r>
      <w:r w:rsidR="00467E42" w:rsidRPr="44F2C78C">
        <w:rPr>
          <w:color w:val="000000" w:themeColor="text1"/>
        </w:rPr>
        <w:t>la</w:t>
      </w:r>
      <w:r w:rsidR="00470AD8" w:rsidRPr="44F2C78C">
        <w:rPr>
          <w:color w:val="000000" w:themeColor="text1"/>
        </w:rPr>
        <w:t>246 Material eléctrico y electrónico</w:t>
      </w:r>
      <w:r w:rsidR="00E5111B" w:rsidRPr="44F2C78C">
        <w:rPr>
          <w:color w:val="000000" w:themeColor="text1"/>
        </w:rPr>
        <w:t xml:space="preserve">, respetando el 10% que la </w:t>
      </w:r>
      <w:r w:rsidR="10A0FD9B" w:rsidRPr="44F2C78C">
        <w:rPr>
          <w:color w:val="000000" w:themeColor="text1"/>
        </w:rPr>
        <w:t>l</w:t>
      </w:r>
      <w:r w:rsidR="00E5111B" w:rsidRPr="44F2C78C">
        <w:rPr>
          <w:color w:val="000000" w:themeColor="text1"/>
        </w:rPr>
        <w:t>ey en la materia permite transferir</w:t>
      </w:r>
      <w:r w:rsidR="68DE4005" w:rsidRPr="44F2C78C">
        <w:rPr>
          <w:color w:val="000000" w:themeColor="text1"/>
        </w:rPr>
        <w:t>. E</w:t>
      </w:r>
      <w:r w:rsidR="00F03248" w:rsidRPr="44F2C78C">
        <w:rPr>
          <w:color w:val="000000" w:themeColor="text1"/>
        </w:rPr>
        <w:t xml:space="preserve">xplica que </w:t>
      </w:r>
      <w:r w:rsidR="00E10ECE" w:rsidRPr="44F2C78C">
        <w:rPr>
          <w:color w:val="000000" w:themeColor="text1"/>
        </w:rPr>
        <w:t xml:space="preserve">derivado del arrendamiento de la oficina surgieron requerimientos que no se tenían </w:t>
      </w:r>
      <w:r w:rsidR="0F3D1135" w:rsidRPr="44F2C78C">
        <w:rPr>
          <w:color w:val="000000" w:themeColor="text1"/>
        </w:rPr>
        <w:t xml:space="preserve">previstos, </w:t>
      </w:r>
      <w:r w:rsidR="00E10ECE" w:rsidRPr="44F2C78C">
        <w:rPr>
          <w:color w:val="000000" w:themeColor="text1"/>
        </w:rPr>
        <w:t xml:space="preserve">como </w:t>
      </w:r>
      <w:r w:rsidR="00F15D04" w:rsidRPr="44F2C78C">
        <w:rPr>
          <w:color w:val="000000" w:themeColor="text1"/>
        </w:rPr>
        <w:t xml:space="preserve">duplicados de llaves, cambiar chapas, </w:t>
      </w:r>
      <w:r w:rsidR="007808D6" w:rsidRPr="44F2C78C">
        <w:rPr>
          <w:color w:val="000000" w:themeColor="text1"/>
        </w:rPr>
        <w:t xml:space="preserve">y puesto que es </w:t>
      </w:r>
      <w:r w:rsidR="00AC4406" w:rsidRPr="44F2C78C">
        <w:rPr>
          <w:color w:val="000000" w:themeColor="text1"/>
        </w:rPr>
        <w:t xml:space="preserve">el primer ejercicio </w:t>
      </w:r>
      <w:r w:rsidR="00AC4406" w:rsidRPr="44F2C78C">
        <w:rPr>
          <w:color w:val="000000" w:themeColor="text1"/>
        </w:rPr>
        <w:lastRenderedPageBreak/>
        <w:t xml:space="preserve">presupuestario anual completo, se están realizando </w:t>
      </w:r>
      <w:r w:rsidR="00A43766" w:rsidRPr="44F2C78C">
        <w:rPr>
          <w:color w:val="000000" w:themeColor="text1"/>
        </w:rPr>
        <w:t xml:space="preserve">diversos ajustes presupuestales, </w:t>
      </w:r>
      <w:r w:rsidR="00467E42" w:rsidRPr="44F2C78C">
        <w:rPr>
          <w:color w:val="000000" w:themeColor="text1"/>
        </w:rPr>
        <w:t>así como los insumos requeridos para el botiquín</w:t>
      </w:r>
      <w:r w:rsidR="698B5C8F" w:rsidRPr="44F2C78C">
        <w:rPr>
          <w:color w:val="000000" w:themeColor="text1"/>
        </w:rPr>
        <w:t>. L</w:t>
      </w:r>
      <w:r w:rsidR="001E681B" w:rsidRPr="44F2C78C">
        <w:rPr>
          <w:color w:val="000000" w:themeColor="text1"/>
        </w:rPr>
        <w:t>o anterior dará suficiencia presupuestaria a las partidas 292</w:t>
      </w:r>
      <w:r w:rsidR="02EDC810" w:rsidRPr="44F2C78C">
        <w:rPr>
          <w:color w:val="000000" w:themeColor="text1"/>
        </w:rPr>
        <w:t>,</w:t>
      </w:r>
      <w:r w:rsidR="001E681B" w:rsidRPr="44F2C78C">
        <w:rPr>
          <w:color w:val="000000" w:themeColor="text1"/>
        </w:rPr>
        <w:t xml:space="preserve"> Refacciones y accesorios menores de edificios</w:t>
      </w:r>
      <w:r w:rsidR="6AA88AF1" w:rsidRPr="44F2C78C">
        <w:rPr>
          <w:color w:val="000000" w:themeColor="text1"/>
        </w:rPr>
        <w:t>,</w:t>
      </w:r>
      <w:r w:rsidR="001E681B" w:rsidRPr="44F2C78C">
        <w:rPr>
          <w:color w:val="000000" w:themeColor="text1"/>
        </w:rPr>
        <w:t xml:space="preserve"> y </w:t>
      </w:r>
      <w:r w:rsidR="00622DF0" w:rsidRPr="44F2C78C">
        <w:rPr>
          <w:color w:val="000000" w:themeColor="text1"/>
        </w:rPr>
        <w:t>254</w:t>
      </w:r>
      <w:r w:rsidR="0B67D39D" w:rsidRPr="44F2C78C">
        <w:rPr>
          <w:color w:val="000000" w:themeColor="text1"/>
        </w:rPr>
        <w:t>,</w:t>
      </w:r>
      <w:r w:rsidR="00622DF0" w:rsidRPr="44F2C78C">
        <w:rPr>
          <w:color w:val="000000" w:themeColor="text1"/>
        </w:rPr>
        <w:t xml:space="preserve"> Materiales, accesorios y suministros médicos. </w:t>
      </w:r>
    </w:p>
    <w:p w14:paraId="5383165D" w14:textId="1E725C7D" w:rsidR="00684CD4" w:rsidRDefault="00622DF0" w:rsidP="44F2C78C">
      <w:pPr>
        <w:spacing w:line="240" w:lineRule="auto"/>
        <w:jc w:val="both"/>
        <w:rPr>
          <w:color w:val="000000" w:themeColor="text1"/>
        </w:rPr>
      </w:pPr>
      <w:r w:rsidRPr="44F2C78C">
        <w:rPr>
          <w:color w:val="000000" w:themeColor="text1"/>
        </w:rPr>
        <w:t xml:space="preserve">El </w:t>
      </w:r>
      <w:proofErr w:type="gramStart"/>
      <w:r w:rsidRPr="44F2C78C">
        <w:rPr>
          <w:color w:val="000000" w:themeColor="text1"/>
        </w:rPr>
        <w:t>Presidente</w:t>
      </w:r>
      <w:proofErr w:type="gramEnd"/>
      <w:r w:rsidRPr="44F2C78C">
        <w:rPr>
          <w:color w:val="000000" w:themeColor="text1"/>
        </w:rPr>
        <w:t xml:space="preserve"> del Consejo de la Judicatura </w:t>
      </w:r>
      <w:r w:rsidR="007B5762" w:rsidRPr="44F2C78C">
        <w:rPr>
          <w:color w:val="000000" w:themeColor="text1"/>
        </w:rPr>
        <w:t>consulta respecto a</w:t>
      </w:r>
      <w:r w:rsidR="00C33358" w:rsidRPr="44F2C78C">
        <w:rPr>
          <w:color w:val="000000" w:themeColor="text1"/>
        </w:rPr>
        <w:t>l Capítulo 1000, sobre la transferencia de más de $ 4,000,000.00 de pesos</w:t>
      </w:r>
      <w:r w:rsidR="03894FAF" w:rsidRPr="44F2C78C">
        <w:rPr>
          <w:color w:val="000000" w:themeColor="text1"/>
        </w:rPr>
        <w:t>:</w:t>
      </w:r>
      <w:r w:rsidR="00C33358" w:rsidRPr="44F2C78C">
        <w:rPr>
          <w:color w:val="000000" w:themeColor="text1"/>
        </w:rPr>
        <w:t xml:space="preserve"> </w:t>
      </w:r>
      <w:r w:rsidR="00684CD4" w:rsidRPr="44F2C78C">
        <w:rPr>
          <w:color w:val="000000" w:themeColor="text1"/>
        </w:rPr>
        <w:t>¿es para 16 contratos de personal por honorarios asimilables a salarios</w:t>
      </w:r>
      <w:r w:rsidR="00A656ED" w:rsidRPr="44F2C78C">
        <w:rPr>
          <w:color w:val="000000" w:themeColor="text1"/>
        </w:rPr>
        <w:t xml:space="preserve"> por todo el año</w:t>
      </w:r>
      <w:r w:rsidR="00684CD4" w:rsidRPr="44F2C78C">
        <w:rPr>
          <w:color w:val="000000" w:themeColor="text1"/>
        </w:rPr>
        <w:t xml:space="preserve">? La Secretaria Técnica responde que la información a detalle se hará llegar </w:t>
      </w:r>
      <w:r w:rsidR="00A656ED" w:rsidRPr="44F2C78C">
        <w:rPr>
          <w:color w:val="000000" w:themeColor="text1"/>
        </w:rPr>
        <w:t>por correo electrónico</w:t>
      </w:r>
      <w:r w:rsidR="3A4023E6" w:rsidRPr="44F2C78C">
        <w:rPr>
          <w:color w:val="000000" w:themeColor="text1"/>
        </w:rPr>
        <w:t>;</w:t>
      </w:r>
      <w:r w:rsidR="00A656ED" w:rsidRPr="44F2C78C">
        <w:rPr>
          <w:color w:val="000000" w:themeColor="text1"/>
        </w:rPr>
        <w:t xml:space="preserve"> </w:t>
      </w:r>
      <w:r w:rsidR="006151F9" w:rsidRPr="44F2C78C">
        <w:rPr>
          <w:color w:val="000000" w:themeColor="text1"/>
        </w:rPr>
        <w:t xml:space="preserve">sin embargo, explica a grandes rasgos que derivado de la mudanza, </w:t>
      </w:r>
      <w:r w:rsidR="002473BD" w:rsidRPr="44F2C78C">
        <w:rPr>
          <w:color w:val="000000" w:themeColor="text1"/>
        </w:rPr>
        <w:t>la falta de Directores y diversas circunstancias</w:t>
      </w:r>
      <w:r w:rsidR="00AC606D" w:rsidRPr="44F2C78C">
        <w:rPr>
          <w:color w:val="000000" w:themeColor="text1"/>
        </w:rPr>
        <w:t>, incluso de la propia infraestructura</w:t>
      </w:r>
      <w:r w:rsidR="00DF59AF" w:rsidRPr="44F2C78C">
        <w:rPr>
          <w:color w:val="000000" w:themeColor="text1"/>
        </w:rPr>
        <w:t>,</w:t>
      </w:r>
      <w:r w:rsidR="002473BD" w:rsidRPr="44F2C78C">
        <w:rPr>
          <w:color w:val="000000" w:themeColor="text1"/>
        </w:rPr>
        <w:t xml:space="preserve"> se realizaron a partir de la aprobación del 5 de marzo</w:t>
      </w:r>
      <w:r w:rsidR="00AC606D" w:rsidRPr="44F2C78C">
        <w:rPr>
          <w:color w:val="000000" w:themeColor="text1"/>
        </w:rPr>
        <w:t xml:space="preserve"> las contrataciones correspondientes</w:t>
      </w:r>
      <w:r w:rsidR="62B663A5" w:rsidRPr="44F2C78C">
        <w:rPr>
          <w:color w:val="000000" w:themeColor="text1"/>
        </w:rPr>
        <w:t xml:space="preserve"> y e</w:t>
      </w:r>
      <w:r w:rsidR="004A7123" w:rsidRPr="44F2C78C">
        <w:rPr>
          <w:color w:val="000000" w:themeColor="text1"/>
        </w:rPr>
        <w:t>xplicó como ejemplo que en cuanto a personal de vigilancia en principio se contrat</w:t>
      </w:r>
      <w:r w:rsidR="0CBD8D03" w:rsidRPr="44F2C78C">
        <w:rPr>
          <w:color w:val="000000" w:themeColor="text1"/>
        </w:rPr>
        <w:t>ó</w:t>
      </w:r>
      <w:r w:rsidR="004A7123" w:rsidRPr="44F2C78C">
        <w:rPr>
          <w:color w:val="000000" w:themeColor="text1"/>
        </w:rPr>
        <w:t xml:space="preserve"> a personal para que realizar</w:t>
      </w:r>
      <w:r w:rsidR="29E14164" w:rsidRPr="44F2C78C">
        <w:rPr>
          <w:color w:val="000000" w:themeColor="text1"/>
        </w:rPr>
        <w:t>a</w:t>
      </w:r>
      <w:r w:rsidR="004A7123" w:rsidRPr="44F2C78C">
        <w:rPr>
          <w:color w:val="000000" w:themeColor="text1"/>
        </w:rPr>
        <w:t xml:space="preserve"> dichas funciones, en tanto </w:t>
      </w:r>
      <w:r w:rsidR="00BF0D48" w:rsidRPr="44F2C78C">
        <w:rPr>
          <w:color w:val="000000" w:themeColor="text1"/>
        </w:rPr>
        <w:t xml:space="preserve">se desarrollaba el proceso correspondiente en el Comité de Adquisiciones. </w:t>
      </w:r>
    </w:p>
    <w:p w14:paraId="061CC862" w14:textId="4217D562" w:rsidR="00882E7C" w:rsidRDefault="00882E7C" w:rsidP="002F1E31">
      <w:pPr>
        <w:spacing w:line="240" w:lineRule="auto"/>
        <w:jc w:val="both"/>
        <w:rPr>
          <w:color w:val="000000" w:themeColor="text1"/>
        </w:rPr>
      </w:pPr>
      <w:r>
        <w:rPr>
          <w:color w:val="000000" w:themeColor="text1"/>
        </w:rPr>
        <w:t xml:space="preserve">La </w:t>
      </w:r>
      <w:proofErr w:type="gramStart"/>
      <w:r>
        <w:rPr>
          <w:color w:val="000000" w:themeColor="text1"/>
        </w:rPr>
        <w:t>Presidenta</w:t>
      </w:r>
      <w:proofErr w:type="gramEnd"/>
      <w:r w:rsidR="005D1224">
        <w:rPr>
          <w:color w:val="000000" w:themeColor="text1"/>
        </w:rPr>
        <w:t xml:space="preserve"> del ITEI</w:t>
      </w:r>
      <w:r>
        <w:rPr>
          <w:color w:val="000000" w:themeColor="text1"/>
        </w:rPr>
        <w:t xml:space="preserve"> expresa que se suma a la moción del Presidente del Consejo de la Judicatura, </w:t>
      </w:r>
      <w:r w:rsidR="0024757D">
        <w:rPr>
          <w:color w:val="000000" w:themeColor="text1"/>
        </w:rPr>
        <w:t xml:space="preserve">considerando que es alto el monto que se requiere transferir, consulta si dicho </w:t>
      </w:r>
      <w:r w:rsidR="00C62C2D">
        <w:rPr>
          <w:color w:val="000000" w:themeColor="text1"/>
        </w:rPr>
        <w:t>recurso es para utilizarse a partir de la aprobación o si es para pagar lo retrasado. La Secretaria Técnica re</w:t>
      </w:r>
      <w:r w:rsidR="00A95564">
        <w:rPr>
          <w:color w:val="000000" w:themeColor="text1"/>
        </w:rPr>
        <w:t>itera que es por cuestiones de regularización</w:t>
      </w:r>
      <w:r w:rsidR="005D1224">
        <w:rPr>
          <w:color w:val="000000" w:themeColor="text1"/>
        </w:rPr>
        <w:t xml:space="preserve">. </w:t>
      </w:r>
    </w:p>
    <w:p w14:paraId="51DBF630" w14:textId="7C325DE9" w:rsidR="005D1224" w:rsidRDefault="005D1224" w:rsidP="44F2C78C">
      <w:pPr>
        <w:spacing w:line="240" w:lineRule="auto"/>
        <w:jc w:val="both"/>
        <w:rPr>
          <w:color w:val="000000" w:themeColor="text1"/>
        </w:rPr>
      </w:pPr>
      <w:r w:rsidRPr="44F2C78C">
        <w:rPr>
          <w:color w:val="000000" w:themeColor="text1"/>
        </w:rPr>
        <w:t xml:space="preserve">La </w:t>
      </w:r>
      <w:proofErr w:type="gramStart"/>
      <w:r w:rsidRPr="44F2C78C">
        <w:rPr>
          <w:color w:val="000000" w:themeColor="text1"/>
        </w:rPr>
        <w:t>Presidenta</w:t>
      </w:r>
      <w:proofErr w:type="gramEnd"/>
      <w:r w:rsidRPr="44F2C78C">
        <w:rPr>
          <w:color w:val="000000" w:themeColor="text1"/>
        </w:rPr>
        <w:t xml:space="preserve"> del ITEI </w:t>
      </w:r>
      <w:r w:rsidR="0040147C" w:rsidRPr="44F2C78C">
        <w:rPr>
          <w:color w:val="000000" w:themeColor="text1"/>
        </w:rPr>
        <w:t xml:space="preserve">insiste en que antes de aprobarlo requiere tener toda la información. La Secretaria Técnica le recuerda que las transferencias solicitadas para el Capítulo 1000 no se someterán a aprobación en tanto envía la información solicitada. </w:t>
      </w:r>
      <w:r w:rsidR="00B003FD" w:rsidRPr="44F2C78C">
        <w:rPr>
          <w:color w:val="000000" w:themeColor="text1"/>
        </w:rPr>
        <w:t xml:space="preserve">La </w:t>
      </w:r>
      <w:proofErr w:type="gramStart"/>
      <w:r w:rsidR="00B003FD" w:rsidRPr="44F2C78C">
        <w:rPr>
          <w:color w:val="000000" w:themeColor="text1"/>
        </w:rPr>
        <w:t>Presidenta</w:t>
      </w:r>
      <w:proofErr w:type="gramEnd"/>
      <w:r w:rsidR="00B003FD" w:rsidRPr="44F2C78C">
        <w:rPr>
          <w:color w:val="000000" w:themeColor="text1"/>
        </w:rPr>
        <w:t xml:space="preserve"> del ITEI reitera su duda respecto a la aprobación. A lo anterior todos los integrantes </w:t>
      </w:r>
      <w:r w:rsidR="00745E8D" w:rsidRPr="44F2C78C">
        <w:rPr>
          <w:color w:val="000000" w:themeColor="text1"/>
        </w:rPr>
        <w:t xml:space="preserve">le recuerdan que dicha aprobación queda pendiente, en específico la Contralora del Estado, </w:t>
      </w:r>
      <w:r w:rsidR="002E1C8B" w:rsidRPr="44F2C78C">
        <w:rPr>
          <w:color w:val="000000" w:themeColor="text1"/>
        </w:rPr>
        <w:t>señala que se debe recordar el Acuerdo que se suscribió en la Sesión d</w:t>
      </w:r>
      <w:r w:rsidR="002E3371" w:rsidRPr="44F2C78C">
        <w:rPr>
          <w:color w:val="000000" w:themeColor="text1"/>
        </w:rPr>
        <w:t xml:space="preserve">el 5 de marzo. </w:t>
      </w:r>
    </w:p>
    <w:p w14:paraId="6FE3EB17" w14:textId="49B3E3A9" w:rsidR="002E3371" w:rsidRDefault="00FE1273" w:rsidP="44F2C78C">
      <w:pPr>
        <w:spacing w:line="240" w:lineRule="auto"/>
        <w:jc w:val="both"/>
        <w:rPr>
          <w:color w:val="000000" w:themeColor="text1"/>
        </w:rPr>
      </w:pPr>
      <w:r w:rsidRPr="44F2C78C">
        <w:rPr>
          <w:color w:val="000000" w:themeColor="text1"/>
        </w:rPr>
        <w:t xml:space="preserve">La Contralora del Estado señala que las </w:t>
      </w:r>
      <w:r w:rsidR="003F037D" w:rsidRPr="44F2C78C">
        <w:rPr>
          <w:color w:val="000000" w:themeColor="text1"/>
        </w:rPr>
        <w:t xml:space="preserve">transferencias relativas al Capítulo 2000 </w:t>
      </w:r>
      <w:r w:rsidR="7FC4B924" w:rsidRPr="44F2C78C">
        <w:rPr>
          <w:color w:val="000000" w:themeColor="text1"/>
        </w:rPr>
        <w:t>sí</w:t>
      </w:r>
      <w:r w:rsidR="003F037D" w:rsidRPr="44F2C78C">
        <w:rPr>
          <w:color w:val="000000" w:themeColor="text1"/>
        </w:rPr>
        <w:t xml:space="preserve"> se someterán a aprobación. </w:t>
      </w:r>
      <w:r w:rsidR="006E60D3" w:rsidRPr="44F2C78C">
        <w:rPr>
          <w:color w:val="000000" w:themeColor="text1"/>
        </w:rPr>
        <w:t xml:space="preserve">A lo anterior, los presentes se manifestaron a favor y dichas transferencias </w:t>
      </w:r>
      <w:r w:rsidR="6E196729" w:rsidRPr="44F2C78C">
        <w:rPr>
          <w:color w:val="000000" w:themeColor="text1"/>
        </w:rPr>
        <w:t xml:space="preserve">son </w:t>
      </w:r>
      <w:r w:rsidR="006E60D3" w:rsidRPr="44F2C78C">
        <w:rPr>
          <w:color w:val="000000" w:themeColor="text1"/>
        </w:rPr>
        <w:t>aprobadas conforme al Anexo 1.</w:t>
      </w:r>
    </w:p>
    <w:p w14:paraId="62DFFB95" w14:textId="03D2681E" w:rsidR="00B84C80" w:rsidRDefault="00B84C80" w:rsidP="005C342C">
      <w:pPr>
        <w:spacing w:line="240" w:lineRule="auto"/>
        <w:jc w:val="both"/>
      </w:pPr>
      <w:r w:rsidRPr="44F2C78C">
        <w:rPr>
          <w:color w:val="000000" w:themeColor="text1"/>
        </w:rPr>
        <w:t xml:space="preserve">La Secretaria Técnica </w:t>
      </w:r>
      <w:r w:rsidR="00077C7C" w:rsidRPr="44F2C78C">
        <w:rPr>
          <w:color w:val="000000" w:themeColor="text1"/>
        </w:rPr>
        <w:t>conti</w:t>
      </w:r>
      <w:r w:rsidR="3E48DA4A" w:rsidRPr="44F2C78C">
        <w:rPr>
          <w:color w:val="000000" w:themeColor="text1"/>
        </w:rPr>
        <w:t>núa</w:t>
      </w:r>
      <w:r w:rsidR="00077C7C" w:rsidRPr="44F2C78C">
        <w:rPr>
          <w:color w:val="000000" w:themeColor="text1"/>
        </w:rPr>
        <w:t xml:space="preserve"> con la</w:t>
      </w:r>
      <w:r w:rsidR="00711B84" w:rsidRPr="44F2C78C">
        <w:rPr>
          <w:color w:val="000000" w:themeColor="text1"/>
        </w:rPr>
        <w:t>s propuestas de transferencias presupuestarias relativas al Capítulo 3000</w:t>
      </w:r>
      <w:r w:rsidR="48156B31" w:rsidRPr="44F2C78C">
        <w:rPr>
          <w:color w:val="000000" w:themeColor="text1"/>
        </w:rPr>
        <w:t>,</w:t>
      </w:r>
      <w:r w:rsidR="00393F65" w:rsidRPr="44F2C78C">
        <w:rPr>
          <w:color w:val="000000" w:themeColor="text1"/>
        </w:rPr>
        <w:t xml:space="preserve"> Servicios generales</w:t>
      </w:r>
      <w:r w:rsidR="77B74ADB" w:rsidRPr="44F2C78C">
        <w:rPr>
          <w:color w:val="000000" w:themeColor="text1"/>
        </w:rPr>
        <w:t>. E</w:t>
      </w:r>
      <w:r w:rsidR="00B0716C" w:rsidRPr="44F2C78C">
        <w:rPr>
          <w:color w:val="000000" w:themeColor="text1"/>
        </w:rPr>
        <w:t xml:space="preserve">xpone </w:t>
      </w:r>
      <w:r w:rsidR="004D642F" w:rsidRPr="44F2C78C">
        <w:rPr>
          <w:color w:val="000000" w:themeColor="text1"/>
        </w:rPr>
        <w:t xml:space="preserve">las partidas de origen: </w:t>
      </w:r>
      <w:r w:rsidR="00F22B09" w:rsidRPr="44F2C78C">
        <w:rPr>
          <w:color w:val="000000" w:themeColor="text1"/>
        </w:rPr>
        <w:t xml:space="preserve">313 Agua, 314 Telefonía tradicional, </w:t>
      </w:r>
      <w:r w:rsidR="00DD7976" w:rsidRPr="44F2C78C">
        <w:rPr>
          <w:color w:val="000000" w:themeColor="text1"/>
        </w:rPr>
        <w:t xml:space="preserve">317 Servicios de acceso de Internet, redes y procesamiento de información, 319 Servicios integrales y otros servicios, </w:t>
      </w:r>
      <w:r w:rsidR="005D291F" w:rsidRPr="44F2C78C">
        <w:rPr>
          <w:color w:val="000000" w:themeColor="text1"/>
        </w:rPr>
        <w:t xml:space="preserve">322 Arrendamiento de edificios, </w:t>
      </w:r>
      <w:r w:rsidR="005C342C" w:rsidRPr="44F2C78C">
        <w:rPr>
          <w:color w:val="000000" w:themeColor="text1"/>
        </w:rPr>
        <w:t xml:space="preserve">323 Arrendamiento de mobiliario y equipo de administración, educacional, 333 Servicios de consultoría administrativa, procesos, técnica y en tecnologías de la información, </w:t>
      </w:r>
      <w:r w:rsidR="00284EE4" w:rsidRPr="44F2C78C">
        <w:rPr>
          <w:color w:val="000000" w:themeColor="text1"/>
        </w:rPr>
        <w:t>336 Servicios de apoyo administrativo, fotocopiado e impresión,</w:t>
      </w:r>
      <w:r w:rsidR="00284EE4">
        <w:t xml:space="preserve"> 341 Servicios financieros y bancarios, 344 Seguros de responsabilidad patrimonial y fianzas, </w:t>
      </w:r>
      <w:r w:rsidR="00D35E9B">
        <w:t xml:space="preserve">345 Seguro de bienes patrimoniales, 375 Viáticos en el país, </w:t>
      </w:r>
      <w:r w:rsidR="00BA572B">
        <w:t xml:space="preserve">379 Otros Servicios de traslado y hospedaje </w:t>
      </w:r>
      <w:r w:rsidR="00BA572B">
        <w:lastRenderedPageBreak/>
        <w:t>y 392 Impuestos y derechos</w:t>
      </w:r>
      <w:r w:rsidR="67B40A0C">
        <w:t>. S</w:t>
      </w:r>
      <w:r w:rsidR="009E7BA5">
        <w:t xml:space="preserve">eñala que hay cuestiones que permitieron ahorrar en ciertas partidas, como la falta de personal </w:t>
      </w:r>
      <w:r w:rsidR="00C27BBD">
        <w:t>contribuy</w:t>
      </w:r>
      <w:r w:rsidR="06E571AC">
        <w:t>ó</w:t>
      </w:r>
      <w:r w:rsidR="00C27BBD">
        <w:t xml:space="preserve"> al ahorro en agua, teléfono tradicional, </w:t>
      </w:r>
      <w:r w:rsidR="00B85E82">
        <w:t>así como el ahorro en el arrendamiento del inmueble para las oficinas</w:t>
      </w:r>
      <w:r w:rsidR="00A52131">
        <w:t xml:space="preserve">. </w:t>
      </w:r>
      <w:r w:rsidR="00004770">
        <w:t>Comenta las partidas de destino</w:t>
      </w:r>
      <w:r w:rsidR="0811E671">
        <w:t>,</w:t>
      </w:r>
      <w:r w:rsidR="00004770">
        <w:t xml:space="preserve"> </w:t>
      </w:r>
      <w:r w:rsidR="00EE6D3B">
        <w:t>que son</w:t>
      </w:r>
      <w:r w:rsidR="4F08556B">
        <w:t xml:space="preserve"> la </w:t>
      </w:r>
      <w:r w:rsidR="007037EF">
        <w:t>331 Servicios legales, de contabilidad, auditoría y relacionados</w:t>
      </w:r>
      <w:r w:rsidR="734D422A">
        <w:t>;</w:t>
      </w:r>
      <w:r w:rsidR="001E01B8">
        <w:t xml:space="preserve"> 351 Conservación y mantenimiento menor de inmuebles</w:t>
      </w:r>
      <w:r w:rsidR="7D9A502D">
        <w:t>;</w:t>
      </w:r>
      <w:r w:rsidR="001E01B8">
        <w:t xml:space="preserve"> 338 Servicios de vigilancia</w:t>
      </w:r>
      <w:r w:rsidR="5FEE432E">
        <w:t>;</w:t>
      </w:r>
      <w:r w:rsidR="001E01B8">
        <w:t xml:space="preserve"> 347 Fletes y maniobras</w:t>
      </w:r>
      <w:r w:rsidR="2F2AC91F">
        <w:t>;</w:t>
      </w:r>
      <w:r w:rsidR="001E01B8">
        <w:t xml:space="preserve"> </w:t>
      </w:r>
      <w:r w:rsidR="0001718A">
        <w:t>357 Instalación, reparación y mantenimiento de maquinaria otros equipos y herramienta</w:t>
      </w:r>
      <w:r w:rsidR="2857565C">
        <w:t>;</w:t>
      </w:r>
      <w:r w:rsidR="0059745F">
        <w:t xml:space="preserve"> 359 Servicios de jardinería y fumigación</w:t>
      </w:r>
      <w:r w:rsidR="07D42989">
        <w:t xml:space="preserve">; </w:t>
      </w:r>
      <w:r w:rsidR="0059745F">
        <w:t>361 Difusión por radio, televisión y otros medios de mensajes sobre programas y actividades gubernamentales</w:t>
      </w:r>
      <w:r w:rsidR="4E3074D9">
        <w:t>,</w:t>
      </w:r>
      <w:r w:rsidR="0059745F">
        <w:t xml:space="preserve"> y 399</w:t>
      </w:r>
      <w:r w:rsidR="6A373D3C">
        <w:t>,</w:t>
      </w:r>
      <w:r w:rsidR="0059745F">
        <w:t xml:space="preserve"> Otros servicios generales, en específico </w:t>
      </w:r>
      <w:r w:rsidR="00A467F2">
        <w:t xml:space="preserve">sobre el Sistema de Contabilidad </w:t>
      </w:r>
      <w:r w:rsidR="000B6DC8">
        <w:t xml:space="preserve">Gubernamental, señala </w:t>
      </w:r>
      <w:r w:rsidR="000A44D8">
        <w:t xml:space="preserve">que el presupuesto que se requirió con base en el estudio de mercado en 2018, no fue suficiente, </w:t>
      </w:r>
      <w:r w:rsidR="00227564">
        <w:t>en esa tesitura, explica también que</w:t>
      </w:r>
      <w:r w:rsidR="00D8140E">
        <w:t xml:space="preserve">, se requieren adecuaciones </w:t>
      </w:r>
      <w:r w:rsidR="00372733">
        <w:t xml:space="preserve">y mantenimiento </w:t>
      </w:r>
      <w:r w:rsidR="00D8140E">
        <w:t>para</w:t>
      </w:r>
      <w:r w:rsidR="00372733">
        <w:t xml:space="preserve"> diversos</w:t>
      </w:r>
      <w:r w:rsidR="00D8140E">
        <w:t xml:space="preserve"> espacios del inmueble</w:t>
      </w:r>
      <w:r w:rsidR="00321141">
        <w:t xml:space="preserve">. </w:t>
      </w:r>
    </w:p>
    <w:p w14:paraId="164239A3" w14:textId="7F76305F" w:rsidR="00321141" w:rsidRDefault="00321141" w:rsidP="005C342C">
      <w:pPr>
        <w:spacing w:line="240" w:lineRule="auto"/>
        <w:jc w:val="both"/>
      </w:pPr>
      <w:r>
        <w:t xml:space="preserve">La </w:t>
      </w:r>
      <w:proofErr w:type="gramStart"/>
      <w:r>
        <w:t>Presidenta</w:t>
      </w:r>
      <w:proofErr w:type="gramEnd"/>
      <w:r>
        <w:t xml:space="preserve"> del ITEI consulta a qué se refiere </w:t>
      </w:r>
      <w:r w:rsidR="006069A5">
        <w:t xml:space="preserve">la contratación de servicios integrales. La Coordinadora de Administración de la SESAJ responde </w:t>
      </w:r>
      <w:r w:rsidR="00DB7D56">
        <w:t>que en dicha partida se consideran situaciones que no están previstas y que no encajan con alguna partida en específico</w:t>
      </w:r>
      <w:r w:rsidR="76C71900">
        <w:t>;</w:t>
      </w:r>
      <w:r w:rsidR="00DB7D56">
        <w:t xml:space="preserve"> </w:t>
      </w:r>
      <w:r w:rsidR="00B07EDF">
        <w:t>señala que no se tiene ninguna situación en particular, sino que es preventivo</w:t>
      </w:r>
      <w:r w:rsidR="00724DAB">
        <w:t xml:space="preserve"> y en caso de que no se </w:t>
      </w:r>
      <w:r w:rsidR="00C1401C">
        <w:t xml:space="preserve">presente </w:t>
      </w:r>
      <w:r w:rsidR="1B8924ED">
        <w:t>algo</w:t>
      </w:r>
      <w:r w:rsidR="00C1401C">
        <w:t xml:space="preserve">, ese monto se queda sin ejercer. </w:t>
      </w:r>
      <w:r w:rsidR="00686199">
        <w:t>La Secreta</w:t>
      </w:r>
      <w:r w:rsidR="009A131F">
        <w:t xml:space="preserve">ria Técnica </w:t>
      </w:r>
      <w:r w:rsidR="00E64099">
        <w:t xml:space="preserve">pone como ejemplo el costo de las mangueras, que no entran en </w:t>
      </w:r>
      <w:r w:rsidR="006551CC">
        <w:t xml:space="preserve">la misma partida presupuestaria </w:t>
      </w:r>
      <w:r w:rsidR="00511612">
        <w:t xml:space="preserve">de servicios de jardinería, y resalta que es únicamente una previsión. </w:t>
      </w:r>
    </w:p>
    <w:p w14:paraId="5EC26B3E" w14:textId="161D47B2" w:rsidR="00974D1A" w:rsidRDefault="00511612" w:rsidP="005C342C">
      <w:pPr>
        <w:spacing w:line="240" w:lineRule="auto"/>
        <w:jc w:val="both"/>
      </w:pPr>
      <w:r>
        <w:t xml:space="preserve">El </w:t>
      </w:r>
      <w:proofErr w:type="gramStart"/>
      <w:r>
        <w:t>Presidente</w:t>
      </w:r>
      <w:proofErr w:type="gramEnd"/>
      <w:r>
        <w:t xml:space="preserve"> del TJA </w:t>
      </w:r>
      <w:r w:rsidR="005555BE">
        <w:t xml:space="preserve">consulta sobre la </w:t>
      </w:r>
      <w:r w:rsidR="004A2F6D">
        <w:t>partida 344</w:t>
      </w:r>
      <w:r w:rsidR="708320CB">
        <w:t>,</w:t>
      </w:r>
      <w:r w:rsidR="004A2F6D">
        <w:t xml:space="preserve"> Seguros de responsabilidad patrimonial y fianzas, </w:t>
      </w:r>
      <w:r w:rsidR="00BD7CFC">
        <w:t xml:space="preserve">en caso de que se diera una responsabilidad patrimonial por parte de la Secretaría, </w:t>
      </w:r>
      <w:r w:rsidR="008335A9">
        <w:t xml:space="preserve">si el monto expuesto </w:t>
      </w:r>
      <w:r w:rsidR="00B7606B">
        <w:t xml:space="preserve">es </w:t>
      </w:r>
      <w:r w:rsidR="008335A9">
        <w:t xml:space="preserve">el que establece la Constitución </w:t>
      </w:r>
      <w:r w:rsidR="002A5E30">
        <w:t xml:space="preserve">Política de los Estados Unidos Mexicanos. </w:t>
      </w:r>
      <w:r w:rsidR="00974D1A">
        <w:t xml:space="preserve">Lo anterior </w:t>
      </w:r>
      <w:r w:rsidR="00FF4801">
        <w:t>ya que,</w:t>
      </w:r>
      <w:r w:rsidR="00974D1A">
        <w:t xml:space="preserve"> a su consideración, debe ser proporcional al presupuesto del organismo. </w:t>
      </w:r>
    </w:p>
    <w:p w14:paraId="0495253F" w14:textId="263A8CB5" w:rsidR="00974D1A" w:rsidRDefault="00891010" w:rsidP="005C342C">
      <w:pPr>
        <w:spacing w:line="240" w:lineRule="auto"/>
        <w:jc w:val="both"/>
      </w:pPr>
      <w:r>
        <w:t xml:space="preserve">La Coordinadora de Administración de la SESAJ responde que la partida prevista para ser de origen en el ejercicio de transferencia refiere </w:t>
      </w:r>
      <w:r w:rsidR="00D50AF0">
        <w:t xml:space="preserve">al seguro de responsabilidad patrimonial previsto en la Ley </w:t>
      </w:r>
      <w:r w:rsidR="004C62B7">
        <w:t xml:space="preserve">de Fiscalización Superior </w:t>
      </w:r>
      <w:r w:rsidR="000C5BAF">
        <w:t xml:space="preserve">y Rendición de Cuentas del Estado de Jalisco, </w:t>
      </w:r>
      <w:r w:rsidR="00A2405A">
        <w:t xml:space="preserve">la cual se obtiene mediante la aplicación de </w:t>
      </w:r>
      <w:r w:rsidR="00FF4801">
        <w:t>fórmulas</w:t>
      </w:r>
      <w:r w:rsidR="00A2405A">
        <w:t xml:space="preserve"> matemáticas</w:t>
      </w:r>
      <w:r w:rsidR="63326D13">
        <w:t>;</w:t>
      </w:r>
      <w:r w:rsidR="00A2405A">
        <w:t xml:space="preserve"> </w:t>
      </w:r>
      <w:r w:rsidR="00D10409">
        <w:t xml:space="preserve">sin embargo, indica que se realizó el análisis jurídico correspondiente, del cual se concluyó que </w:t>
      </w:r>
      <w:r w:rsidR="00256167">
        <w:t xml:space="preserve">dicha disposición aplicaba únicamente a los Municipios. </w:t>
      </w:r>
    </w:p>
    <w:p w14:paraId="2FB6830E" w14:textId="258C1359" w:rsidR="00AA6B95" w:rsidRDefault="00AA6B95" w:rsidP="005C342C">
      <w:pPr>
        <w:spacing w:line="240" w:lineRule="auto"/>
        <w:jc w:val="both"/>
      </w:pPr>
      <w:r>
        <w:t xml:space="preserve">El </w:t>
      </w:r>
      <w:proofErr w:type="gramStart"/>
      <w:r>
        <w:t>Presidente</w:t>
      </w:r>
      <w:proofErr w:type="gramEnd"/>
      <w:r>
        <w:t xml:space="preserve"> del TJA considera que </w:t>
      </w:r>
      <w:r w:rsidR="0080348F">
        <w:t xml:space="preserve">primero se debería asegurar </w:t>
      </w:r>
      <w:r w:rsidR="002310CC">
        <w:t>lo que disp</w:t>
      </w:r>
      <w:r w:rsidR="003C017B">
        <w:t xml:space="preserve">one la </w:t>
      </w:r>
      <w:r w:rsidR="002310CC">
        <w:t>Constituc</w:t>
      </w:r>
      <w:r w:rsidR="003C017B">
        <w:t>ión,</w:t>
      </w:r>
      <w:r w:rsidR="002310CC">
        <w:t xml:space="preserve"> </w:t>
      </w:r>
      <w:r w:rsidR="002A7912">
        <w:t xml:space="preserve">es decir, tener el presupuesto para pagar las fianzas </w:t>
      </w:r>
      <w:r w:rsidR="0099316E">
        <w:t>que se tendrían que pagar en caso de ser condenados</w:t>
      </w:r>
      <w:r w:rsidR="00597318">
        <w:t>, ya que no pagar, generaría una responsabilidad</w:t>
      </w:r>
      <w:r w:rsidR="0A2B3B96">
        <w:t>. P</w:t>
      </w:r>
      <w:r w:rsidR="00597318">
        <w:t xml:space="preserve">or lo anterior solicita que se revise en particular dicha partida presupuestaria. </w:t>
      </w:r>
      <w:r w:rsidR="00A1546C">
        <w:t xml:space="preserve">La </w:t>
      </w:r>
      <w:proofErr w:type="gramStart"/>
      <w:r w:rsidR="00A1546C">
        <w:t>Presidenta</w:t>
      </w:r>
      <w:proofErr w:type="gramEnd"/>
      <w:r w:rsidR="00A1546C">
        <w:t xml:space="preserve"> del ITEI se suma al requerimiento y señala que</w:t>
      </w:r>
      <w:r w:rsidR="101F8BED">
        <w:t>,</w:t>
      </w:r>
      <w:r w:rsidR="00A1546C">
        <w:t xml:space="preserve"> en su caso, se tiene presupuestado alrededor de </w:t>
      </w:r>
      <w:r w:rsidR="00DA74AB">
        <w:t xml:space="preserve">$ 1,000,000.00, contando con un presupuesto similar al de la Secretaría Ejecutiva. </w:t>
      </w:r>
    </w:p>
    <w:p w14:paraId="06FF009F" w14:textId="1B9E1A9C" w:rsidR="005F6255" w:rsidRPr="00284EE4" w:rsidRDefault="005F6255" w:rsidP="005C342C">
      <w:pPr>
        <w:spacing w:line="240" w:lineRule="auto"/>
        <w:jc w:val="both"/>
      </w:pPr>
      <w:r>
        <w:lastRenderedPageBreak/>
        <w:t xml:space="preserve">La Secretaria Técnica solicita se someta a aprobación el resto de las partidas presupuestarias, su creación y la suficiencia presupuestaria conforme al Anexo 1. </w:t>
      </w:r>
      <w:r w:rsidR="00E7733C">
        <w:t xml:space="preserve">Los </w:t>
      </w:r>
      <w:r w:rsidR="00D42B0C">
        <w:t>I</w:t>
      </w:r>
      <w:r w:rsidR="00E7733C">
        <w:t>ntegrantes del Órgano de Gobierno se manifiestan a favor</w:t>
      </w:r>
      <w:r w:rsidR="00D42B0C">
        <w:t xml:space="preserve">. </w:t>
      </w:r>
    </w:p>
    <w:p w14:paraId="2F3C048E" w14:textId="0C45A21B" w:rsidR="002D5BFB" w:rsidRPr="002D5BFB" w:rsidRDefault="002D5BFB" w:rsidP="002D5BFB">
      <w:pPr>
        <w:pStyle w:val="Prrafodelista"/>
        <w:numPr>
          <w:ilvl w:val="0"/>
          <w:numId w:val="1"/>
        </w:numPr>
        <w:spacing w:line="240" w:lineRule="auto"/>
        <w:jc w:val="both"/>
        <w:rPr>
          <w:b/>
          <w:bCs/>
        </w:rPr>
      </w:pPr>
      <w:r w:rsidRPr="002D5BFB">
        <w:rPr>
          <w:b/>
          <w:bCs/>
        </w:rPr>
        <w:t>Anteproyecto de Presupuesto 2020</w:t>
      </w:r>
    </w:p>
    <w:p w14:paraId="5EEA63DB" w14:textId="21EEEC20" w:rsidR="002F1E31" w:rsidRDefault="00983380" w:rsidP="00AB6D90">
      <w:pPr>
        <w:spacing w:line="240" w:lineRule="auto"/>
        <w:jc w:val="both"/>
      </w:pPr>
      <w:r>
        <w:t xml:space="preserve">El </w:t>
      </w:r>
      <w:proofErr w:type="gramStart"/>
      <w:r>
        <w:t>Presidente</w:t>
      </w:r>
      <w:proofErr w:type="gramEnd"/>
      <w:r>
        <w:t xml:space="preserve"> del Órgano de Gobierno solicita a la Secretaria Técnica el desahogo del punto correspondiente </w:t>
      </w:r>
      <w:r w:rsidR="002D5BFB">
        <w:t xml:space="preserve">al </w:t>
      </w:r>
      <w:r w:rsidR="00C527C9">
        <w:t>a</w:t>
      </w:r>
      <w:r w:rsidR="002D5BFB">
        <w:t xml:space="preserve">nteproyecto de </w:t>
      </w:r>
      <w:r w:rsidR="00C527C9">
        <w:t>p</w:t>
      </w:r>
      <w:r w:rsidR="002D5BFB">
        <w:t>resupuesto 2020</w:t>
      </w:r>
      <w:r>
        <w:t xml:space="preserve">. </w:t>
      </w:r>
    </w:p>
    <w:p w14:paraId="6105B979" w14:textId="7E69CD0F" w:rsidR="006C2B3C" w:rsidRDefault="00983380" w:rsidP="00AB6D90">
      <w:pPr>
        <w:spacing w:line="240" w:lineRule="auto"/>
        <w:jc w:val="both"/>
      </w:pPr>
      <w:r>
        <w:t xml:space="preserve">La Secretaria Técnica </w:t>
      </w:r>
      <w:r w:rsidR="00731593">
        <w:t xml:space="preserve">informa que el </w:t>
      </w:r>
      <w:r w:rsidR="00C527C9">
        <w:t>a</w:t>
      </w:r>
      <w:r w:rsidR="00731593">
        <w:t xml:space="preserve">nteproyecto de </w:t>
      </w:r>
      <w:r w:rsidR="00C527C9">
        <w:t>p</w:t>
      </w:r>
      <w:r w:rsidR="00731593">
        <w:t>resupuesto 2020 fue enviado a la Secretaría de la Hacienda Pública</w:t>
      </w:r>
      <w:r w:rsidR="00B43644">
        <w:t xml:space="preserve"> el 15 de agosto, dando cumplimiento a los requerimientos formales que se realizaron, </w:t>
      </w:r>
      <w:r w:rsidR="00A16D54">
        <w:t>y resalta que se elaboró con base en el Presupuesto de Egresos 2019</w:t>
      </w:r>
      <w:r w:rsidR="00E27E36">
        <w:t xml:space="preserve">. </w:t>
      </w:r>
    </w:p>
    <w:p w14:paraId="6316B973" w14:textId="1632828C" w:rsidR="00734B8A" w:rsidRDefault="00E27E36" w:rsidP="00AB6D90">
      <w:pPr>
        <w:spacing w:line="240" w:lineRule="auto"/>
        <w:jc w:val="both"/>
      </w:pPr>
      <w:r>
        <w:t xml:space="preserve">La Secretaria Técnica </w:t>
      </w:r>
      <w:r w:rsidR="009C0660">
        <w:t>resalta la corta vida institucional que tiene la Secretaría Ejecutiva</w:t>
      </w:r>
      <w:r w:rsidR="00277CA2">
        <w:t xml:space="preserve"> y el histórico de sus presupuestos: </w:t>
      </w:r>
    </w:p>
    <w:tbl>
      <w:tblPr>
        <w:tblW w:w="14729" w:type="dxa"/>
        <w:tblInd w:w="-851" w:type="dxa"/>
        <w:tblCellMar>
          <w:left w:w="70" w:type="dxa"/>
          <w:right w:w="70" w:type="dxa"/>
        </w:tblCellMar>
        <w:tblLook w:val="04A0" w:firstRow="1" w:lastRow="0" w:firstColumn="1" w:lastColumn="0" w:noHBand="0" w:noVBand="1"/>
      </w:tblPr>
      <w:tblGrid>
        <w:gridCol w:w="849"/>
        <w:gridCol w:w="711"/>
        <w:gridCol w:w="425"/>
        <w:gridCol w:w="2410"/>
        <w:gridCol w:w="1425"/>
        <w:gridCol w:w="134"/>
        <w:gridCol w:w="1560"/>
        <w:gridCol w:w="720"/>
        <w:gridCol w:w="1122"/>
        <w:gridCol w:w="1404"/>
        <w:gridCol w:w="565"/>
        <w:gridCol w:w="1987"/>
        <w:gridCol w:w="1417"/>
      </w:tblGrid>
      <w:tr w:rsidR="00734B8A" w:rsidRPr="00737AA6" w14:paraId="32225B13" w14:textId="77777777" w:rsidTr="00737AA6">
        <w:trPr>
          <w:trHeight w:val="279"/>
        </w:trPr>
        <w:tc>
          <w:tcPr>
            <w:tcW w:w="13312" w:type="dxa"/>
            <w:gridSpan w:val="12"/>
            <w:vMerge w:val="restart"/>
            <w:tcBorders>
              <w:top w:val="nil"/>
              <w:left w:val="nil"/>
              <w:bottom w:val="nil"/>
              <w:right w:val="nil"/>
            </w:tcBorders>
            <w:shd w:val="clear" w:color="auto" w:fill="auto"/>
            <w:vAlign w:val="center"/>
            <w:hideMark/>
          </w:tcPr>
          <w:p w14:paraId="6ED3A420" w14:textId="143D7DB3" w:rsidR="00734B8A" w:rsidRPr="00737AA6" w:rsidRDefault="00737AA6" w:rsidP="00737AA6">
            <w:pPr>
              <w:spacing w:after="0" w:line="240" w:lineRule="auto"/>
              <w:rPr>
                <w:rFonts w:eastAsia="Times New Roman" w:cs="Calibri"/>
                <w:b/>
                <w:bCs/>
                <w:color w:val="000000"/>
                <w:sz w:val="16"/>
                <w:szCs w:val="24"/>
                <w:lang w:eastAsia="es-MX"/>
              </w:rPr>
            </w:pPr>
            <w:bookmarkStart w:id="0" w:name="RANGE!B1:F11"/>
            <w:r>
              <w:rPr>
                <w:rFonts w:eastAsia="Times New Roman" w:cs="Calibri"/>
                <w:b/>
                <w:bCs/>
                <w:color w:val="000000"/>
                <w:sz w:val="16"/>
                <w:szCs w:val="24"/>
                <w:lang w:eastAsia="es-MX"/>
              </w:rPr>
              <w:t xml:space="preserve">                                                                                 </w:t>
            </w:r>
            <w:r w:rsidR="00734B8A" w:rsidRPr="00737AA6">
              <w:rPr>
                <w:rFonts w:eastAsia="Times New Roman" w:cs="Calibri"/>
                <w:b/>
                <w:bCs/>
                <w:color w:val="000000"/>
                <w:sz w:val="16"/>
                <w:szCs w:val="24"/>
                <w:lang w:eastAsia="es-MX"/>
              </w:rPr>
              <w:t>RESUMEN GENERAL</w:t>
            </w:r>
            <w:bookmarkEnd w:id="0"/>
          </w:p>
        </w:tc>
        <w:tc>
          <w:tcPr>
            <w:tcW w:w="1417" w:type="dxa"/>
            <w:tcBorders>
              <w:top w:val="nil"/>
              <w:left w:val="nil"/>
              <w:bottom w:val="nil"/>
              <w:right w:val="nil"/>
            </w:tcBorders>
            <w:shd w:val="clear" w:color="auto" w:fill="auto"/>
            <w:noWrap/>
            <w:vAlign w:val="bottom"/>
            <w:hideMark/>
          </w:tcPr>
          <w:p w14:paraId="484C4C92" w14:textId="77777777" w:rsidR="00734B8A" w:rsidRPr="00737AA6" w:rsidRDefault="00734B8A" w:rsidP="00C527C9">
            <w:pPr>
              <w:spacing w:after="0" w:line="240" w:lineRule="auto"/>
              <w:jc w:val="center"/>
              <w:rPr>
                <w:rFonts w:eastAsia="Times New Roman" w:cs="Calibri"/>
                <w:b/>
                <w:bCs/>
                <w:color w:val="000000"/>
                <w:sz w:val="16"/>
                <w:szCs w:val="24"/>
                <w:lang w:eastAsia="es-MX"/>
              </w:rPr>
            </w:pPr>
          </w:p>
        </w:tc>
      </w:tr>
      <w:tr w:rsidR="00734B8A" w:rsidRPr="00737AA6" w14:paraId="04DD416E" w14:textId="77777777" w:rsidTr="00737AA6">
        <w:trPr>
          <w:trHeight w:val="624"/>
        </w:trPr>
        <w:tc>
          <w:tcPr>
            <w:tcW w:w="13312" w:type="dxa"/>
            <w:gridSpan w:val="12"/>
            <w:vMerge/>
            <w:vAlign w:val="center"/>
            <w:hideMark/>
          </w:tcPr>
          <w:p w14:paraId="6B0CC02A" w14:textId="77777777" w:rsidR="00734B8A" w:rsidRPr="00737AA6" w:rsidRDefault="00734B8A" w:rsidP="00C527C9">
            <w:pPr>
              <w:spacing w:after="0" w:line="240" w:lineRule="auto"/>
              <w:rPr>
                <w:rFonts w:eastAsia="Times New Roman" w:cs="Calibri"/>
                <w:b/>
                <w:bCs/>
                <w:color w:val="000000"/>
                <w:sz w:val="16"/>
                <w:szCs w:val="24"/>
                <w:lang w:eastAsia="es-MX"/>
              </w:rPr>
            </w:pPr>
          </w:p>
        </w:tc>
        <w:tc>
          <w:tcPr>
            <w:tcW w:w="1417" w:type="dxa"/>
            <w:tcBorders>
              <w:top w:val="nil"/>
              <w:left w:val="nil"/>
              <w:bottom w:val="nil"/>
              <w:right w:val="nil"/>
            </w:tcBorders>
            <w:shd w:val="clear" w:color="auto" w:fill="auto"/>
            <w:noWrap/>
            <w:vAlign w:val="bottom"/>
            <w:hideMark/>
          </w:tcPr>
          <w:p w14:paraId="63350A69"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r>
      <w:tr w:rsidR="00734B8A" w:rsidRPr="00737AA6" w14:paraId="56B2059C" w14:textId="77777777" w:rsidTr="00737AA6">
        <w:trPr>
          <w:gridBefore w:val="1"/>
          <w:gridAfter w:val="2"/>
          <w:wBefore w:w="849" w:type="dxa"/>
          <w:wAfter w:w="3404" w:type="dxa"/>
          <w:trHeight w:val="734"/>
        </w:trPr>
        <w:tc>
          <w:tcPr>
            <w:tcW w:w="1136" w:type="dxa"/>
            <w:gridSpan w:val="2"/>
            <w:tcBorders>
              <w:top w:val="single" w:sz="4" w:space="0" w:color="auto"/>
              <w:left w:val="single" w:sz="4" w:space="0" w:color="auto"/>
              <w:bottom w:val="single" w:sz="4" w:space="0" w:color="auto"/>
              <w:right w:val="single" w:sz="4" w:space="0" w:color="auto"/>
            </w:tcBorders>
            <w:shd w:val="clear" w:color="auto" w:fill="F8CBAD"/>
            <w:vAlign w:val="center"/>
            <w:hideMark/>
          </w:tcPr>
          <w:p w14:paraId="3723BFED" w14:textId="77777777" w:rsidR="00734B8A" w:rsidRPr="00737AA6" w:rsidRDefault="00734B8A" w:rsidP="00C527C9">
            <w:pPr>
              <w:spacing w:after="0" w:line="240" w:lineRule="auto"/>
              <w:jc w:val="center"/>
              <w:rPr>
                <w:rFonts w:eastAsia="Times New Roman" w:cs="Calibri"/>
                <w:b/>
                <w:bCs/>
                <w:color w:val="000000"/>
                <w:sz w:val="16"/>
                <w:szCs w:val="18"/>
                <w:lang w:eastAsia="es-MX"/>
              </w:rPr>
            </w:pPr>
            <w:r w:rsidRPr="00737AA6">
              <w:rPr>
                <w:rFonts w:eastAsia="Times New Roman" w:cs="Calibri"/>
                <w:b/>
                <w:bCs/>
                <w:color w:val="000000"/>
                <w:sz w:val="16"/>
                <w:szCs w:val="18"/>
                <w:lang w:eastAsia="es-MX"/>
              </w:rPr>
              <w:t>CAPÍTULO</w:t>
            </w:r>
          </w:p>
        </w:tc>
        <w:tc>
          <w:tcPr>
            <w:tcW w:w="2410" w:type="dxa"/>
            <w:tcBorders>
              <w:top w:val="single" w:sz="4" w:space="0" w:color="auto"/>
              <w:left w:val="nil"/>
              <w:bottom w:val="single" w:sz="4" w:space="0" w:color="auto"/>
              <w:right w:val="single" w:sz="4" w:space="0" w:color="auto"/>
            </w:tcBorders>
            <w:shd w:val="clear" w:color="auto" w:fill="F8CBAD"/>
            <w:vAlign w:val="center"/>
            <w:hideMark/>
          </w:tcPr>
          <w:p w14:paraId="7186ABF4" w14:textId="77777777" w:rsidR="00734B8A" w:rsidRPr="00737AA6" w:rsidRDefault="00734B8A" w:rsidP="00C527C9">
            <w:pPr>
              <w:spacing w:after="0" w:line="240" w:lineRule="auto"/>
              <w:jc w:val="center"/>
              <w:rPr>
                <w:rFonts w:eastAsia="Times New Roman" w:cs="Calibri"/>
                <w:b/>
                <w:bCs/>
                <w:color w:val="000000"/>
                <w:sz w:val="16"/>
                <w:szCs w:val="18"/>
                <w:lang w:eastAsia="es-MX"/>
              </w:rPr>
            </w:pPr>
            <w:r w:rsidRPr="00737AA6">
              <w:rPr>
                <w:rFonts w:eastAsia="Times New Roman" w:cs="Calibri"/>
                <w:b/>
                <w:bCs/>
                <w:color w:val="000000"/>
                <w:sz w:val="16"/>
                <w:szCs w:val="18"/>
                <w:lang w:eastAsia="es-MX"/>
              </w:rPr>
              <w:t>CONCEPTO</w:t>
            </w:r>
          </w:p>
        </w:tc>
        <w:tc>
          <w:tcPr>
            <w:tcW w:w="1559" w:type="dxa"/>
            <w:gridSpan w:val="2"/>
            <w:tcBorders>
              <w:top w:val="single" w:sz="4" w:space="0" w:color="auto"/>
              <w:left w:val="nil"/>
              <w:bottom w:val="single" w:sz="4" w:space="0" w:color="auto"/>
              <w:right w:val="single" w:sz="4" w:space="0" w:color="auto"/>
            </w:tcBorders>
            <w:shd w:val="clear" w:color="auto" w:fill="F8CBAD"/>
            <w:vAlign w:val="center"/>
            <w:hideMark/>
          </w:tcPr>
          <w:p w14:paraId="567FAD12" w14:textId="77777777" w:rsidR="00734B8A" w:rsidRPr="00737AA6" w:rsidRDefault="00734B8A" w:rsidP="00C527C9">
            <w:pPr>
              <w:spacing w:after="0" w:line="240" w:lineRule="auto"/>
              <w:jc w:val="center"/>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PRESUPUESTO </w:t>
            </w:r>
            <w:r w:rsidRPr="00737AA6">
              <w:rPr>
                <w:rFonts w:eastAsia="Times New Roman" w:cs="Calibri"/>
                <w:b/>
                <w:bCs/>
                <w:color w:val="000000"/>
                <w:sz w:val="16"/>
                <w:szCs w:val="18"/>
                <w:lang w:eastAsia="es-MX"/>
              </w:rPr>
              <w:br/>
              <w:t>2018</w:t>
            </w:r>
          </w:p>
        </w:tc>
        <w:tc>
          <w:tcPr>
            <w:tcW w:w="1560" w:type="dxa"/>
            <w:tcBorders>
              <w:top w:val="single" w:sz="4" w:space="0" w:color="auto"/>
              <w:left w:val="nil"/>
              <w:bottom w:val="single" w:sz="4" w:space="0" w:color="auto"/>
              <w:right w:val="single" w:sz="4" w:space="0" w:color="auto"/>
            </w:tcBorders>
            <w:shd w:val="clear" w:color="auto" w:fill="F8CBAD"/>
            <w:vAlign w:val="center"/>
            <w:hideMark/>
          </w:tcPr>
          <w:p w14:paraId="7B1F6812" w14:textId="77777777" w:rsidR="00734B8A" w:rsidRPr="00737AA6" w:rsidRDefault="00734B8A" w:rsidP="00C527C9">
            <w:pPr>
              <w:spacing w:after="0" w:line="240" w:lineRule="auto"/>
              <w:jc w:val="center"/>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PRESUPUESTO </w:t>
            </w:r>
            <w:r w:rsidRPr="00737AA6">
              <w:rPr>
                <w:rFonts w:eastAsia="Times New Roman" w:cs="Calibri"/>
                <w:b/>
                <w:bCs/>
                <w:color w:val="000000"/>
                <w:sz w:val="16"/>
                <w:szCs w:val="18"/>
                <w:lang w:eastAsia="es-MX"/>
              </w:rPr>
              <w:br/>
              <w:t>2019</w:t>
            </w:r>
          </w:p>
        </w:tc>
        <w:tc>
          <w:tcPr>
            <w:tcW w:w="1842" w:type="dxa"/>
            <w:gridSpan w:val="2"/>
            <w:tcBorders>
              <w:top w:val="single" w:sz="4" w:space="0" w:color="auto"/>
              <w:left w:val="nil"/>
              <w:bottom w:val="single" w:sz="4" w:space="0" w:color="auto"/>
              <w:right w:val="single" w:sz="4" w:space="0" w:color="auto"/>
            </w:tcBorders>
            <w:shd w:val="clear" w:color="auto" w:fill="F8CBAD"/>
            <w:vAlign w:val="center"/>
            <w:hideMark/>
          </w:tcPr>
          <w:p w14:paraId="7EE88740" w14:textId="77777777" w:rsidR="00734B8A" w:rsidRPr="00737AA6" w:rsidRDefault="00734B8A" w:rsidP="00C527C9">
            <w:pPr>
              <w:spacing w:after="0" w:line="240" w:lineRule="auto"/>
              <w:jc w:val="center"/>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ANTEPROYECTO DE PRESUPUESTO </w:t>
            </w:r>
            <w:r w:rsidRPr="00737AA6">
              <w:rPr>
                <w:rFonts w:eastAsia="Times New Roman" w:cs="Calibri"/>
                <w:b/>
                <w:bCs/>
                <w:color w:val="000000"/>
                <w:sz w:val="16"/>
                <w:szCs w:val="18"/>
                <w:lang w:eastAsia="es-MX"/>
              </w:rPr>
              <w:br/>
              <w:t>2020</w:t>
            </w:r>
          </w:p>
        </w:tc>
        <w:tc>
          <w:tcPr>
            <w:tcW w:w="1969" w:type="dxa"/>
            <w:gridSpan w:val="2"/>
            <w:tcBorders>
              <w:top w:val="nil"/>
              <w:left w:val="nil"/>
              <w:bottom w:val="nil"/>
              <w:right w:val="nil"/>
            </w:tcBorders>
            <w:shd w:val="clear" w:color="auto" w:fill="auto"/>
            <w:noWrap/>
            <w:vAlign w:val="bottom"/>
            <w:hideMark/>
          </w:tcPr>
          <w:p w14:paraId="3999A740" w14:textId="77777777" w:rsidR="00734B8A" w:rsidRPr="00737AA6" w:rsidRDefault="00734B8A" w:rsidP="00C527C9">
            <w:pPr>
              <w:spacing w:after="0" w:line="240" w:lineRule="auto"/>
              <w:jc w:val="center"/>
              <w:rPr>
                <w:rFonts w:eastAsia="Times New Roman" w:cs="Calibri"/>
                <w:b/>
                <w:bCs/>
                <w:color w:val="000000"/>
                <w:sz w:val="16"/>
                <w:szCs w:val="18"/>
                <w:lang w:eastAsia="es-MX"/>
              </w:rPr>
            </w:pPr>
          </w:p>
        </w:tc>
      </w:tr>
      <w:tr w:rsidR="00734B8A" w:rsidRPr="00737AA6" w14:paraId="3159065B" w14:textId="77777777" w:rsidTr="00737AA6">
        <w:trPr>
          <w:gridBefore w:val="1"/>
          <w:gridAfter w:val="3"/>
          <w:wBefore w:w="849" w:type="dxa"/>
          <w:wAfter w:w="3969" w:type="dxa"/>
          <w:trHeight w:val="615"/>
        </w:trPr>
        <w:tc>
          <w:tcPr>
            <w:tcW w:w="11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E16D4" w14:textId="77777777" w:rsidR="00734B8A" w:rsidRPr="00737AA6" w:rsidRDefault="00734B8A" w:rsidP="00C527C9">
            <w:pPr>
              <w:spacing w:after="0" w:line="240" w:lineRule="auto"/>
              <w:jc w:val="center"/>
              <w:rPr>
                <w:rFonts w:eastAsia="Times New Roman" w:cs="Calibri"/>
                <w:color w:val="000000"/>
                <w:sz w:val="16"/>
                <w:szCs w:val="18"/>
                <w:lang w:eastAsia="es-MX"/>
              </w:rPr>
            </w:pPr>
            <w:r w:rsidRPr="00737AA6">
              <w:rPr>
                <w:rFonts w:eastAsia="Times New Roman" w:cs="Calibri"/>
                <w:color w:val="000000"/>
                <w:sz w:val="16"/>
                <w:szCs w:val="18"/>
                <w:lang w:eastAsia="es-MX"/>
              </w:rPr>
              <w:t>1000</w:t>
            </w:r>
          </w:p>
        </w:tc>
        <w:tc>
          <w:tcPr>
            <w:tcW w:w="2410" w:type="dxa"/>
            <w:tcBorders>
              <w:top w:val="nil"/>
              <w:left w:val="nil"/>
              <w:bottom w:val="single" w:sz="4" w:space="0" w:color="auto"/>
              <w:right w:val="single" w:sz="4" w:space="0" w:color="auto"/>
            </w:tcBorders>
            <w:shd w:val="clear" w:color="auto" w:fill="auto"/>
            <w:vAlign w:val="center"/>
            <w:hideMark/>
          </w:tcPr>
          <w:p w14:paraId="140E7EBD" w14:textId="77777777" w:rsidR="00734B8A" w:rsidRPr="00737AA6" w:rsidRDefault="00734B8A" w:rsidP="00C527C9">
            <w:pPr>
              <w:spacing w:after="0" w:line="240" w:lineRule="auto"/>
              <w:rPr>
                <w:rFonts w:eastAsia="Times New Roman" w:cs="Calibri"/>
                <w:b/>
                <w:bCs/>
                <w:color w:val="000000"/>
                <w:sz w:val="16"/>
                <w:szCs w:val="18"/>
                <w:lang w:eastAsia="es-MX"/>
              </w:rPr>
            </w:pPr>
            <w:r w:rsidRPr="00737AA6">
              <w:rPr>
                <w:rFonts w:eastAsia="Times New Roman" w:cs="Calibri"/>
                <w:b/>
                <w:bCs/>
                <w:color w:val="000000"/>
                <w:sz w:val="16"/>
                <w:szCs w:val="18"/>
                <w:lang w:eastAsia="es-MX"/>
              </w:rPr>
              <w:t>SERVICIOS PERSONALES</w:t>
            </w:r>
          </w:p>
        </w:tc>
        <w:tc>
          <w:tcPr>
            <w:tcW w:w="1559" w:type="dxa"/>
            <w:gridSpan w:val="2"/>
            <w:tcBorders>
              <w:top w:val="nil"/>
              <w:left w:val="nil"/>
              <w:bottom w:val="single" w:sz="4" w:space="0" w:color="auto"/>
              <w:right w:val="single" w:sz="4" w:space="0" w:color="auto"/>
            </w:tcBorders>
            <w:shd w:val="clear" w:color="auto" w:fill="auto"/>
            <w:vAlign w:val="center"/>
            <w:hideMark/>
          </w:tcPr>
          <w:p w14:paraId="0B20C339"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$ 4,242,272.27 </w:t>
            </w:r>
          </w:p>
        </w:tc>
        <w:tc>
          <w:tcPr>
            <w:tcW w:w="1560" w:type="dxa"/>
            <w:tcBorders>
              <w:top w:val="nil"/>
              <w:left w:val="nil"/>
              <w:bottom w:val="single" w:sz="4" w:space="0" w:color="auto"/>
              <w:right w:val="single" w:sz="4" w:space="0" w:color="auto"/>
            </w:tcBorders>
            <w:shd w:val="clear" w:color="auto" w:fill="auto"/>
            <w:vAlign w:val="center"/>
            <w:hideMark/>
          </w:tcPr>
          <w:p w14:paraId="02EE1BC8"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$ 35,533,224.00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03AC725F"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$ 35,533,400.00 </w:t>
            </w:r>
          </w:p>
        </w:tc>
        <w:tc>
          <w:tcPr>
            <w:tcW w:w="1404" w:type="dxa"/>
            <w:tcBorders>
              <w:top w:val="nil"/>
              <w:left w:val="nil"/>
              <w:bottom w:val="nil"/>
              <w:right w:val="nil"/>
            </w:tcBorders>
            <w:shd w:val="clear" w:color="auto" w:fill="auto"/>
            <w:noWrap/>
            <w:vAlign w:val="center"/>
            <w:hideMark/>
          </w:tcPr>
          <w:p w14:paraId="09AC4829" w14:textId="77777777" w:rsidR="00734B8A" w:rsidRPr="00737AA6" w:rsidRDefault="00734B8A" w:rsidP="00734B8A">
            <w:pPr>
              <w:spacing w:after="0" w:line="240" w:lineRule="auto"/>
              <w:rPr>
                <w:rFonts w:eastAsia="Times New Roman" w:cs="Calibri"/>
                <w:color w:val="000000"/>
                <w:sz w:val="16"/>
                <w:szCs w:val="18"/>
                <w:lang w:eastAsia="es-MX"/>
              </w:rPr>
            </w:pPr>
            <w:r w:rsidRPr="00737AA6">
              <w:rPr>
                <w:rFonts w:eastAsia="Times New Roman" w:cs="Calibri"/>
                <w:color w:val="000000"/>
                <w:sz w:val="16"/>
                <w:szCs w:val="18"/>
                <w:lang w:eastAsia="es-MX"/>
              </w:rPr>
              <w:t>71%</w:t>
            </w:r>
          </w:p>
        </w:tc>
      </w:tr>
      <w:tr w:rsidR="00734B8A" w:rsidRPr="00737AA6" w14:paraId="686B62CB" w14:textId="77777777" w:rsidTr="00737AA6">
        <w:trPr>
          <w:gridBefore w:val="1"/>
          <w:gridAfter w:val="3"/>
          <w:wBefore w:w="849" w:type="dxa"/>
          <w:wAfter w:w="3969" w:type="dxa"/>
          <w:trHeight w:val="645"/>
        </w:trPr>
        <w:tc>
          <w:tcPr>
            <w:tcW w:w="11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5A7DB" w14:textId="77777777" w:rsidR="00734B8A" w:rsidRPr="00737AA6" w:rsidRDefault="00734B8A" w:rsidP="00C527C9">
            <w:pPr>
              <w:spacing w:after="0" w:line="240" w:lineRule="auto"/>
              <w:jc w:val="center"/>
              <w:rPr>
                <w:rFonts w:eastAsia="Times New Roman" w:cs="Calibri"/>
                <w:color w:val="000000"/>
                <w:sz w:val="16"/>
                <w:szCs w:val="18"/>
                <w:lang w:eastAsia="es-MX"/>
              </w:rPr>
            </w:pPr>
            <w:r w:rsidRPr="00737AA6">
              <w:rPr>
                <w:rFonts w:eastAsia="Times New Roman" w:cs="Calibri"/>
                <w:color w:val="000000"/>
                <w:sz w:val="16"/>
                <w:szCs w:val="18"/>
                <w:lang w:eastAsia="es-MX"/>
              </w:rPr>
              <w:t>2000</w:t>
            </w:r>
          </w:p>
        </w:tc>
        <w:tc>
          <w:tcPr>
            <w:tcW w:w="2410" w:type="dxa"/>
            <w:tcBorders>
              <w:top w:val="nil"/>
              <w:left w:val="nil"/>
              <w:bottom w:val="single" w:sz="4" w:space="0" w:color="auto"/>
              <w:right w:val="single" w:sz="4" w:space="0" w:color="auto"/>
            </w:tcBorders>
            <w:shd w:val="clear" w:color="auto" w:fill="auto"/>
            <w:vAlign w:val="center"/>
            <w:hideMark/>
          </w:tcPr>
          <w:p w14:paraId="5415447D" w14:textId="77777777" w:rsidR="00734B8A" w:rsidRPr="00737AA6" w:rsidRDefault="00734B8A" w:rsidP="00C527C9">
            <w:pPr>
              <w:spacing w:after="0" w:line="240" w:lineRule="auto"/>
              <w:rPr>
                <w:rFonts w:eastAsia="Times New Roman" w:cs="Calibri"/>
                <w:b/>
                <w:bCs/>
                <w:color w:val="000000"/>
                <w:sz w:val="16"/>
                <w:szCs w:val="18"/>
                <w:lang w:eastAsia="es-MX"/>
              </w:rPr>
            </w:pPr>
            <w:r w:rsidRPr="00737AA6">
              <w:rPr>
                <w:rFonts w:eastAsia="Times New Roman" w:cs="Calibri"/>
                <w:b/>
                <w:bCs/>
                <w:color w:val="000000"/>
                <w:sz w:val="16"/>
                <w:szCs w:val="18"/>
                <w:lang w:eastAsia="es-MX"/>
              </w:rPr>
              <w:t>MATERIALES Y SUMINISTROS</w:t>
            </w:r>
          </w:p>
        </w:tc>
        <w:tc>
          <w:tcPr>
            <w:tcW w:w="1559" w:type="dxa"/>
            <w:gridSpan w:val="2"/>
            <w:tcBorders>
              <w:top w:val="nil"/>
              <w:left w:val="nil"/>
              <w:bottom w:val="single" w:sz="4" w:space="0" w:color="auto"/>
              <w:right w:val="single" w:sz="4" w:space="0" w:color="auto"/>
            </w:tcBorders>
            <w:shd w:val="clear" w:color="auto" w:fill="auto"/>
            <w:vAlign w:val="center"/>
            <w:hideMark/>
          </w:tcPr>
          <w:p w14:paraId="4EF157A3"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$ 72,001.33 </w:t>
            </w:r>
          </w:p>
        </w:tc>
        <w:tc>
          <w:tcPr>
            <w:tcW w:w="1560" w:type="dxa"/>
            <w:tcBorders>
              <w:top w:val="nil"/>
              <w:left w:val="nil"/>
              <w:bottom w:val="single" w:sz="4" w:space="0" w:color="auto"/>
              <w:right w:val="single" w:sz="4" w:space="0" w:color="auto"/>
            </w:tcBorders>
            <w:shd w:val="clear" w:color="auto" w:fill="auto"/>
            <w:vAlign w:val="center"/>
            <w:hideMark/>
          </w:tcPr>
          <w:p w14:paraId="1BBBD518"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$ 344,092.00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0FEABB22"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$ 352,471.33 </w:t>
            </w:r>
          </w:p>
        </w:tc>
        <w:tc>
          <w:tcPr>
            <w:tcW w:w="1404" w:type="dxa"/>
            <w:tcBorders>
              <w:top w:val="nil"/>
              <w:left w:val="nil"/>
              <w:bottom w:val="nil"/>
              <w:right w:val="nil"/>
            </w:tcBorders>
            <w:shd w:val="clear" w:color="auto" w:fill="auto"/>
            <w:noWrap/>
            <w:vAlign w:val="center"/>
            <w:hideMark/>
          </w:tcPr>
          <w:p w14:paraId="3B19D0C8" w14:textId="77777777" w:rsidR="00734B8A" w:rsidRPr="00737AA6" w:rsidRDefault="00734B8A" w:rsidP="00734B8A">
            <w:pPr>
              <w:spacing w:after="0" w:line="240" w:lineRule="auto"/>
              <w:rPr>
                <w:rFonts w:eastAsia="Times New Roman" w:cs="Calibri"/>
                <w:color w:val="000000"/>
                <w:sz w:val="16"/>
                <w:szCs w:val="18"/>
                <w:lang w:eastAsia="es-MX"/>
              </w:rPr>
            </w:pPr>
            <w:r w:rsidRPr="00737AA6">
              <w:rPr>
                <w:rFonts w:eastAsia="Times New Roman" w:cs="Calibri"/>
                <w:color w:val="000000"/>
                <w:sz w:val="16"/>
                <w:szCs w:val="18"/>
                <w:lang w:eastAsia="es-MX"/>
              </w:rPr>
              <w:t>1%</w:t>
            </w:r>
          </w:p>
        </w:tc>
      </w:tr>
      <w:tr w:rsidR="00734B8A" w:rsidRPr="00737AA6" w14:paraId="5783FDE2" w14:textId="77777777" w:rsidTr="00737AA6">
        <w:trPr>
          <w:gridBefore w:val="1"/>
          <w:gridAfter w:val="3"/>
          <w:wBefore w:w="849" w:type="dxa"/>
          <w:wAfter w:w="3969" w:type="dxa"/>
          <w:trHeight w:val="828"/>
        </w:trPr>
        <w:tc>
          <w:tcPr>
            <w:tcW w:w="11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B9F34A" w14:textId="77777777" w:rsidR="00734B8A" w:rsidRPr="00737AA6" w:rsidRDefault="00734B8A" w:rsidP="00C527C9">
            <w:pPr>
              <w:spacing w:after="0" w:line="240" w:lineRule="auto"/>
              <w:jc w:val="center"/>
              <w:rPr>
                <w:rFonts w:eastAsia="Times New Roman" w:cs="Calibri"/>
                <w:color w:val="000000"/>
                <w:sz w:val="16"/>
                <w:szCs w:val="18"/>
                <w:lang w:eastAsia="es-MX"/>
              </w:rPr>
            </w:pPr>
            <w:r w:rsidRPr="00737AA6">
              <w:rPr>
                <w:rFonts w:eastAsia="Times New Roman" w:cs="Calibri"/>
                <w:color w:val="000000"/>
                <w:sz w:val="16"/>
                <w:szCs w:val="18"/>
                <w:lang w:eastAsia="es-MX"/>
              </w:rPr>
              <w:t>3000</w:t>
            </w:r>
          </w:p>
        </w:tc>
        <w:tc>
          <w:tcPr>
            <w:tcW w:w="2410" w:type="dxa"/>
            <w:tcBorders>
              <w:top w:val="nil"/>
              <w:left w:val="nil"/>
              <w:bottom w:val="single" w:sz="4" w:space="0" w:color="auto"/>
              <w:right w:val="single" w:sz="4" w:space="0" w:color="auto"/>
            </w:tcBorders>
            <w:shd w:val="clear" w:color="auto" w:fill="auto"/>
            <w:vAlign w:val="center"/>
            <w:hideMark/>
          </w:tcPr>
          <w:p w14:paraId="4AB74D27" w14:textId="77777777" w:rsidR="00734B8A" w:rsidRPr="00737AA6" w:rsidRDefault="00734B8A" w:rsidP="00C527C9">
            <w:pPr>
              <w:spacing w:after="0" w:line="240" w:lineRule="auto"/>
              <w:rPr>
                <w:rFonts w:eastAsia="Times New Roman" w:cs="Calibri"/>
                <w:color w:val="000000"/>
                <w:sz w:val="16"/>
                <w:szCs w:val="18"/>
                <w:lang w:eastAsia="es-MX"/>
              </w:rPr>
            </w:pPr>
            <w:r w:rsidRPr="00737AA6">
              <w:rPr>
                <w:rFonts w:eastAsia="Times New Roman" w:cs="Calibri"/>
                <w:b/>
                <w:bCs/>
                <w:color w:val="000000"/>
                <w:sz w:val="16"/>
                <w:szCs w:val="18"/>
                <w:lang w:eastAsia="es-MX"/>
              </w:rPr>
              <w:br/>
              <w:t>SERVICIOS GENERALES</w:t>
            </w:r>
          </w:p>
        </w:tc>
        <w:tc>
          <w:tcPr>
            <w:tcW w:w="1559" w:type="dxa"/>
            <w:gridSpan w:val="2"/>
            <w:tcBorders>
              <w:top w:val="nil"/>
              <w:left w:val="nil"/>
              <w:bottom w:val="single" w:sz="4" w:space="0" w:color="auto"/>
              <w:right w:val="single" w:sz="4" w:space="0" w:color="auto"/>
            </w:tcBorders>
            <w:shd w:val="clear" w:color="auto" w:fill="auto"/>
            <w:vAlign w:val="center"/>
            <w:hideMark/>
          </w:tcPr>
          <w:p w14:paraId="7517A0F7"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$ 1,123,000.00 </w:t>
            </w:r>
          </w:p>
        </w:tc>
        <w:tc>
          <w:tcPr>
            <w:tcW w:w="1560" w:type="dxa"/>
            <w:tcBorders>
              <w:top w:val="nil"/>
              <w:left w:val="nil"/>
              <w:bottom w:val="single" w:sz="4" w:space="0" w:color="auto"/>
              <w:right w:val="single" w:sz="4" w:space="0" w:color="auto"/>
            </w:tcBorders>
            <w:shd w:val="clear" w:color="auto" w:fill="auto"/>
            <w:vAlign w:val="center"/>
            <w:hideMark/>
          </w:tcPr>
          <w:p w14:paraId="26870EBB"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$ 5,832,632.00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264CDE19"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$ 6,091,191.17 </w:t>
            </w:r>
          </w:p>
        </w:tc>
        <w:tc>
          <w:tcPr>
            <w:tcW w:w="1404" w:type="dxa"/>
            <w:tcBorders>
              <w:top w:val="nil"/>
              <w:left w:val="nil"/>
              <w:bottom w:val="nil"/>
              <w:right w:val="nil"/>
            </w:tcBorders>
            <w:shd w:val="clear" w:color="auto" w:fill="auto"/>
            <w:noWrap/>
            <w:vAlign w:val="center"/>
            <w:hideMark/>
          </w:tcPr>
          <w:p w14:paraId="6DF12777" w14:textId="77777777" w:rsidR="00734B8A" w:rsidRPr="00737AA6" w:rsidRDefault="00734B8A" w:rsidP="00734B8A">
            <w:pPr>
              <w:spacing w:after="0" w:line="240" w:lineRule="auto"/>
              <w:rPr>
                <w:rFonts w:eastAsia="Times New Roman" w:cs="Calibri"/>
                <w:color w:val="000000"/>
                <w:sz w:val="16"/>
                <w:szCs w:val="18"/>
                <w:lang w:eastAsia="es-MX"/>
              </w:rPr>
            </w:pPr>
            <w:r w:rsidRPr="00737AA6">
              <w:rPr>
                <w:rFonts w:eastAsia="Times New Roman" w:cs="Calibri"/>
                <w:color w:val="000000"/>
                <w:sz w:val="16"/>
                <w:szCs w:val="18"/>
                <w:lang w:eastAsia="es-MX"/>
              </w:rPr>
              <w:t>12%</w:t>
            </w:r>
          </w:p>
        </w:tc>
      </w:tr>
      <w:tr w:rsidR="00734B8A" w:rsidRPr="00737AA6" w14:paraId="45692027" w14:textId="77777777" w:rsidTr="00737AA6">
        <w:trPr>
          <w:gridBefore w:val="1"/>
          <w:gridAfter w:val="3"/>
          <w:wBefore w:w="849" w:type="dxa"/>
          <w:wAfter w:w="3969" w:type="dxa"/>
          <w:trHeight w:val="720"/>
        </w:trPr>
        <w:tc>
          <w:tcPr>
            <w:tcW w:w="11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AFB877" w14:textId="77777777" w:rsidR="00734B8A" w:rsidRPr="00737AA6" w:rsidRDefault="00734B8A" w:rsidP="00C527C9">
            <w:pPr>
              <w:spacing w:after="0" w:line="240" w:lineRule="auto"/>
              <w:jc w:val="center"/>
              <w:rPr>
                <w:rFonts w:eastAsia="Times New Roman" w:cs="Calibri"/>
                <w:color w:val="000000"/>
                <w:sz w:val="16"/>
                <w:szCs w:val="18"/>
                <w:lang w:eastAsia="es-MX"/>
              </w:rPr>
            </w:pPr>
            <w:r w:rsidRPr="00737AA6">
              <w:rPr>
                <w:rFonts w:eastAsia="Times New Roman" w:cs="Calibri"/>
                <w:color w:val="000000"/>
                <w:sz w:val="16"/>
                <w:szCs w:val="18"/>
                <w:lang w:eastAsia="es-MX"/>
              </w:rPr>
              <w:t>3000</w:t>
            </w:r>
          </w:p>
        </w:tc>
        <w:tc>
          <w:tcPr>
            <w:tcW w:w="2410" w:type="dxa"/>
            <w:tcBorders>
              <w:top w:val="nil"/>
              <w:left w:val="nil"/>
              <w:bottom w:val="single" w:sz="4" w:space="0" w:color="auto"/>
              <w:right w:val="single" w:sz="4" w:space="0" w:color="auto"/>
            </w:tcBorders>
            <w:shd w:val="clear" w:color="auto" w:fill="auto"/>
            <w:noWrap/>
            <w:vAlign w:val="center"/>
            <w:hideMark/>
          </w:tcPr>
          <w:p w14:paraId="5944A69D" w14:textId="77777777" w:rsidR="00734B8A" w:rsidRPr="00737AA6" w:rsidRDefault="00734B8A" w:rsidP="00C527C9">
            <w:pPr>
              <w:spacing w:after="0" w:line="240" w:lineRule="auto"/>
              <w:rPr>
                <w:rFonts w:eastAsia="Times New Roman" w:cs="Calibri"/>
                <w:b/>
                <w:bCs/>
                <w:color w:val="000000"/>
                <w:sz w:val="16"/>
                <w:szCs w:val="18"/>
                <w:lang w:eastAsia="es-MX"/>
              </w:rPr>
            </w:pPr>
            <w:r w:rsidRPr="00737AA6">
              <w:rPr>
                <w:rFonts w:eastAsia="Times New Roman" w:cs="Calibri"/>
                <w:b/>
                <w:bCs/>
                <w:color w:val="000000"/>
                <w:sz w:val="16"/>
                <w:szCs w:val="18"/>
                <w:lang w:eastAsia="es-MX"/>
              </w:rPr>
              <w:t>HONORARIOS DEL CPS</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9B8B8C4"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$ 7,362,856.40 </w:t>
            </w:r>
          </w:p>
        </w:tc>
        <w:tc>
          <w:tcPr>
            <w:tcW w:w="1560" w:type="dxa"/>
            <w:tcBorders>
              <w:top w:val="nil"/>
              <w:left w:val="nil"/>
              <w:bottom w:val="single" w:sz="4" w:space="0" w:color="auto"/>
              <w:right w:val="single" w:sz="4" w:space="0" w:color="auto"/>
            </w:tcBorders>
            <w:shd w:val="clear" w:color="auto" w:fill="auto"/>
            <w:noWrap/>
            <w:vAlign w:val="center"/>
            <w:hideMark/>
          </w:tcPr>
          <w:p w14:paraId="7E9507F9"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$ 6,155,076.00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365FD451"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$ 6,155,076.00 </w:t>
            </w:r>
          </w:p>
        </w:tc>
        <w:tc>
          <w:tcPr>
            <w:tcW w:w="1404" w:type="dxa"/>
            <w:tcBorders>
              <w:top w:val="nil"/>
              <w:left w:val="nil"/>
              <w:bottom w:val="nil"/>
              <w:right w:val="nil"/>
            </w:tcBorders>
            <w:shd w:val="clear" w:color="auto" w:fill="auto"/>
            <w:noWrap/>
            <w:vAlign w:val="center"/>
            <w:hideMark/>
          </w:tcPr>
          <w:p w14:paraId="156100D1" w14:textId="77777777" w:rsidR="00734B8A" w:rsidRPr="00737AA6" w:rsidRDefault="00734B8A" w:rsidP="00734B8A">
            <w:pPr>
              <w:spacing w:after="0" w:line="240" w:lineRule="auto"/>
              <w:rPr>
                <w:rFonts w:eastAsia="Times New Roman" w:cs="Calibri"/>
                <w:color w:val="000000"/>
                <w:sz w:val="16"/>
                <w:szCs w:val="18"/>
                <w:lang w:eastAsia="es-MX"/>
              </w:rPr>
            </w:pPr>
            <w:r w:rsidRPr="00737AA6">
              <w:rPr>
                <w:rFonts w:eastAsia="Times New Roman" w:cs="Calibri"/>
                <w:color w:val="000000"/>
                <w:sz w:val="16"/>
                <w:szCs w:val="18"/>
                <w:lang w:eastAsia="es-MX"/>
              </w:rPr>
              <w:t>12%</w:t>
            </w:r>
          </w:p>
        </w:tc>
      </w:tr>
      <w:tr w:rsidR="00734B8A" w:rsidRPr="00737AA6" w14:paraId="60D63C24" w14:textId="77777777" w:rsidTr="00737AA6">
        <w:trPr>
          <w:gridBefore w:val="1"/>
          <w:gridAfter w:val="3"/>
          <w:wBefore w:w="849" w:type="dxa"/>
          <w:wAfter w:w="3969" w:type="dxa"/>
          <w:trHeight w:val="660"/>
        </w:trPr>
        <w:tc>
          <w:tcPr>
            <w:tcW w:w="11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0343EB" w14:textId="77777777" w:rsidR="00734B8A" w:rsidRPr="00737AA6" w:rsidRDefault="00734B8A" w:rsidP="00C527C9">
            <w:pPr>
              <w:spacing w:after="0" w:line="240" w:lineRule="auto"/>
              <w:jc w:val="center"/>
              <w:rPr>
                <w:rFonts w:eastAsia="Times New Roman" w:cs="Calibri"/>
                <w:color w:val="000000"/>
                <w:sz w:val="16"/>
                <w:szCs w:val="18"/>
                <w:lang w:eastAsia="es-MX"/>
              </w:rPr>
            </w:pPr>
            <w:r w:rsidRPr="00737AA6">
              <w:rPr>
                <w:rFonts w:eastAsia="Times New Roman" w:cs="Calibri"/>
                <w:color w:val="000000"/>
                <w:sz w:val="16"/>
                <w:szCs w:val="18"/>
                <w:lang w:eastAsia="es-MX"/>
              </w:rPr>
              <w:t>5000</w:t>
            </w:r>
          </w:p>
        </w:tc>
        <w:tc>
          <w:tcPr>
            <w:tcW w:w="2410" w:type="dxa"/>
            <w:tcBorders>
              <w:top w:val="nil"/>
              <w:left w:val="nil"/>
              <w:bottom w:val="single" w:sz="4" w:space="0" w:color="auto"/>
              <w:right w:val="single" w:sz="4" w:space="0" w:color="auto"/>
            </w:tcBorders>
            <w:shd w:val="clear" w:color="auto" w:fill="auto"/>
            <w:vAlign w:val="center"/>
            <w:hideMark/>
          </w:tcPr>
          <w:p w14:paraId="315180B7" w14:textId="77777777" w:rsidR="00734B8A" w:rsidRPr="00737AA6" w:rsidRDefault="00734B8A" w:rsidP="00C527C9">
            <w:pPr>
              <w:spacing w:after="0" w:line="240" w:lineRule="auto"/>
              <w:rPr>
                <w:rFonts w:eastAsia="Times New Roman" w:cs="Calibri"/>
                <w:b/>
                <w:bCs/>
                <w:color w:val="000000"/>
                <w:sz w:val="16"/>
                <w:szCs w:val="18"/>
                <w:lang w:eastAsia="es-MX"/>
              </w:rPr>
            </w:pPr>
            <w:r w:rsidRPr="00737AA6">
              <w:rPr>
                <w:rFonts w:eastAsia="Times New Roman" w:cs="Calibri"/>
                <w:b/>
                <w:bCs/>
                <w:color w:val="000000"/>
                <w:sz w:val="16"/>
                <w:szCs w:val="18"/>
                <w:lang w:eastAsia="es-MX"/>
              </w:rPr>
              <w:t>BIENES MUEBLES, INMUEBLES E INTANGIBLES.</w:t>
            </w:r>
          </w:p>
        </w:tc>
        <w:tc>
          <w:tcPr>
            <w:tcW w:w="1559" w:type="dxa"/>
            <w:gridSpan w:val="2"/>
            <w:tcBorders>
              <w:top w:val="nil"/>
              <w:left w:val="nil"/>
              <w:bottom w:val="single" w:sz="4" w:space="0" w:color="auto"/>
              <w:right w:val="single" w:sz="4" w:space="0" w:color="auto"/>
            </w:tcBorders>
            <w:shd w:val="clear" w:color="auto" w:fill="auto"/>
            <w:vAlign w:val="center"/>
            <w:hideMark/>
          </w:tcPr>
          <w:p w14:paraId="1EC3A727" w14:textId="77777777" w:rsidR="00734B8A" w:rsidRPr="00737AA6" w:rsidRDefault="00734B8A" w:rsidP="00C527C9">
            <w:pPr>
              <w:spacing w:after="0" w:line="240" w:lineRule="auto"/>
              <w:rPr>
                <w:rFonts w:eastAsia="Times New Roman" w:cs="Calibri"/>
                <w:color w:val="000000"/>
                <w:sz w:val="16"/>
                <w:szCs w:val="18"/>
                <w:lang w:eastAsia="es-MX"/>
              </w:rPr>
            </w:pPr>
            <w:r w:rsidRPr="00737AA6">
              <w:rPr>
                <w:rFonts w:eastAsia="Times New Roman" w:cs="Calibri"/>
                <w:color w:val="000000"/>
                <w:sz w:val="16"/>
                <w:szCs w:val="18"/>
                <w:lang w:eastAsia="es-MX"/>
              </w:rPr>
              <w:t> </w:t>
            </w:r>
          </w:p>
        </w:tc>
        <w:tc>
          <w:tcPr>
            <w:tcW w:w="1560" w:type="dxa"/>
            <w:tcBorders>
              <w:top w:val="nil"/>
              <w:left w:val="nil"/>
              <w:bottom w:val="single" w:sz="4" w:space="0" w:color="auto"/>
              <w:right w:val="single" w:sz="4" w:space="0" w:color="auto"/>
            </w:tcBorders>
            <w:shd w:val="clear" w:color="auto" w:fill="auto"/>
            <w:vAlign w:val="center"/>
            <w:hideMark/>
          </w:tcPr>
          <w:p w14:paraId="52F03F42"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$ 2,313,900.00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65B7BABD" w14:textId="77777777" w:rsidR="00734B8A" w:rsidRPr="00737AA6" w:rsidRDefault="00734B8A" w:rsidP="00C527C9">
            <w:pPr>
              <w:spacing w:after="0" w:line="240" w:lineRule="auto"/>
              <w:jc w:val="right"/>
              <w:rPr>
                <w:rFonts w:eastAsia="Times New Roman" w:cs="Calibri"/>
                <w:color w:val="000000"/>
                <w:sz w:val="16"/>
                <w:szCs w:val="18"/>
                <w:lang w:eastAsia="es-MX"/>
              </w:rPr>
            </w:pPr>
            <w:r w:rsidRPr="00737AA6">
              <w:rPr>
                <w:rFonts w:eastAsia="Times New Roman" w:cs="Calibri"/>
                <w:color w:val="000000"/>
                <w:sz w:val="16"/>
                <w:szCs w:val="18"/>
                <w:lang w:eastAsia="es-MX"/>
              </w:rPr>
              <w:t xml:space="preserve"> $ 2,047,061.50 </w:t>
            </w:r>
          </w:p>
        </w:tc>
        <w:tc>
          <w:tcPr>
            <w:tcW w:w="1404" w:type="dxa"/>
            <w:tcBorders>
              <w:top w:val="nil"/>
              <w:left w:val="nil"/>
              <w:bottom w:val="nil"/>
              <w:right w:val="nil"/>
            </w:tcBorders>
            <w:shd w:val="clear" w:color="auto" w:fill="auto"/>
            <w:noWrap/>
            <w:vAlign w:val="center"/>
            <w:hideMark/>
          </w:tcPr>
          <w:p w14:paraId="5483D6DA" w14:textId="77777777" w:rsidR="00734B8A" w:rsidRPr="00737AA6" w:rsidRDefault="00734B8A" w:rsidP="00734B8A">
            <w:pPr>
              <w:spacing w:after="0" w:line="240" w:lineRule="auto"/>
              <w:rPr>
                <w:rFonts w:eastAsia="Times New Roman" w:cs="Calibri"/>
                <w:color w:val="000000"/>
                <w:sz w:val="16"/>
                <w:szCs w:val="18"/>
                <w:lang w:eastAsia="es-MX"/>
              </w:rPr>
            </w:pPr>
            <w:r w:rsidRPr="00737AA6">
              <w:rPr>
                <w:rFonts w:eastAsia="Times New Roman" w:cs="Calibri"/>
                <w:color w:val="000000"/>
                <w:sz w:val="16"/>
                <w:szCs w:val="18"/>
                <w:lang w:eastAsia="es-MX"/>
              </w:rPr>
              <w:t>4%</w:t>
            </w:r>
          </w:p>
        </w:tc>
      </w:tr>
      <w:tr w:rsidR="00734B8A" w:rsidRPr="00737AA6" w14:paraId="66114F37" w14:textId="77777777" w:rsidTr="00737AA6">
        <w:trPr>
          <w:gridBefore w:val="1"/>
          <w:gridAfter w:val="3"/>
          <w:wBefore w:w="849" w:type="dxa"/>
          <w:wAfter w:w="3969" w:type="dxa"/>
          <w:trHeight w:val="570"/>
        </w:trPr>
        <w:tc>
          <w:tcPr>
            <w:tcW w:w="1136" w:type="dxa"/>
            <w:gridSpan w:val="2"/>
            <w:tcBorders>
              <w:top w:val="nil"/>
              <w:left w:val="nil"/>
              <w:bottom w:val="nil"/>
              <w:right w:val="nil"/>
            </w:tcBorders>
            <w:shd w:val="clear" w:color="auto" w:fill="auto"/>
            <w:noWrap/>
            <w:vAlign w:val="center"/>
            <w:hideMark/>
          </w:tcPr>
          <w:p w14:paraId="15CE0DD8" w14:textId="77777777" w:rsidR="00734B8A" w:rsidRPr="00737AA6" w:rsidRDefault="00734B8A" w:rsidP="00C527C9">
            <w:pPr>
              <w:spacing w:after="0" w:line="240" w:lineRule="auto"/>
              <w:jc w:val="center"/>
              <w:rPr>
                <w:rFonts w:eastAsia="Times New Roman" w:cs="Calibri"/>
                <w:color w:val="000000"/>
                <w:sz w:val="16"/>
                <w:szCs w:val="18"/>
                <w:lang w:eastAsia="es-MX"/>
              </w:rPr>
            </w:pPr>
          </w:p>
        </w:tc>
        <w:tc>
          <w:tcPr>
            <w:tcW w:w="2410" w:type="dxa"/>
            <w:tcBorders>
              <w:top w:val="nil"/>
              <w:left w:val="single" w:sz="4" w:space="0" w:color="auto"/>
              <w:bottom w:val="single" w:sz="4" w:space="0" w:color="auto"/>
              <w:right w:val="single" w:sz="4" w:space="0" w:color="auto"/>
            </w:tcBorders>
            <w:shd w:val="clear" w:color="auto" w:fill="C6E0B4"/>
            <w:noWrap/>
            <w:vAlign w:val="center"/>
            <w:hideMark/>
          </w:tcPr>
          <w:p w14:paraId="1CF5C600" w14:textId="463C7F9C" w:rsidR="00734B8A" w:rsidRPr="00737AA6" w:rsidRDefault="00734B8A" w:rsidP="00C527C9">
            <w:pPr>
              <w:spacing w:after="0" w:line="240" w:lineRule="auto"/>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TOTAL </w:t>
            </w:r>
          </w:p>
        </w:tc>
        <w:tc>
          <w:tcPr>
            <w:tcW w:w="1559" w:type="dxa"/>
            <w:gridSpan w:val="2"/>
            <w:tcBorders>
              <w:top w:val="nil"/>
              <w:left w:val="nil"/>
              <w:bottom w:val="single" w:sz="4" w:space="0" w:color="auto"/>
              <w:right w:val="single" w:sz="4" w:space="0" w:color="auto"/>
            </w:tcBorders>
            <w:shd w:val="clear" w:color="auto" w:fill="C6E0B4"/>
            <w:noWrap/>
            <w:vAlign w:val="center"/>
            <w:hideMark/>
          </w:tcPr>
          <w:p w14:paraId="1BB9C020" w14:textId="77777777" w:rsidR="00734B8A" w:rsidRPr="00737AA6" w:rsidRDefault="00734B8A" w:rsidP="00C527C9">
            <w:pPr>
              <w:spacing w:after="0" w:line="240" w:lineRule="auto"/>
              <w:jc w:val="right"/>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 $ 12,800,130.00 </w:t>
            </w:r>
          </w:p>
        </w:tc>
        <w:tc>
          <w:tcPr>
            <w:tcW w:w="1560" w:type="dxa"/>
            <w:tcBorders>
              <w:top w:val="nil"/>
              <w:left w:val="nil"/>
              <w:bottom w:val="single" w:sz="4" w:space="0" w:color="auto"/>
              <w:right w:val="single" w:sz="4" w:space="0" w:color="auto"/>
            </w:tcBorders>
            <w:shd w:val="clear" w:color="auto" w:fill="C6E0B4"/>
            <w:noWrap/>
            <w:vAlign w:val="center"/>
            <w:hideMark/>
          </w:tcPr>
          <w:p w14:paraId="400C4219" w14:textId="77777777" w:rsidR="00734B8A" w:rsidRPr="00737AA6" w:rsidRDefault="00734B8A" w:rsidP="00C527C9">
            <w:pPr>
              <w:spacing w:after="0" w:line="240" w:lineRule="auto"/>
              <w:jc w:val="right"/>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 $ 50,178,924.00 </w:t>
            </w:r>
          </w:p>
        </w:tc>
        <w:tc>
          <w:tcPr>
            <w:tcW w:w="1842" w:type="dxa"/>
            <w:gridSpan w:val="2"/>
            <w:tcBorders>
              <w:top w:val="nil"/>
              <w:left w:val="nil"/>
              <w:bottom w:val="single" w:sz="4" w:space="0" w:color="auto"/>
              <w:right w:val="single" w:sz="4" w:space="0" w:color="auto"/>
            </w:tcBorders>
            <w:shd w:val="clear" w:color="auto" w:fill="C6E0B4"/>
            <w:noWrap/>
            <w:vAlign w:val="center"/>
            <w:hideMark/>
          </w:tcPr>
          <w:p w14:paraId="315094F2" w14:textId="77777777" w:rsidR="00734B8A" w:rsidRPr="00737AA6" w:rsidRDefault="00734B8A" w:rsidP="00C527C9">
            <w:pPr>
              <w:spacing w:after="0" w:line="240" w:lineRule="auto"/>
              <w:jc w:val="right"/>
              <w:rPr>
                <w:rFonts w:eastAsia="Times New Roman" w:cs="Calibri"/>
                <w:b/>
                <w:bCs/>
                <w:color w:val="000000"/>
                <w:sz w:val="16"/>
                <w:szCs w:val="18"/>
                <w:lang w:eastAsia="es-MX"/>
              </w:rPr>
            </w:pPr>
            <w:r w:rsidRPr="00737AA6">
              <w:rPr>
                <w:rFonts w:eastAsia="Times New Roman" w:cs="Calibri"/>
                <w:b/>
                <w:bCs/>
                <w:color w:val="000000"/>
                <w:sz w:val="16"/>
                <w:szCs w:val="18"/>
                <w:lang w:eastAsia="es-MX"/>
              </w:rPr>
              <w:t xml:space="preserve"> $ 50,179,200.00 </w:t>
            </w:r>
          </w:p>
        </w:tc>
        <w:tc>
          <w:tcPr>
            <w:tcW w:w="1404" w:type="dxa"/>
            <w:tcBorders>
              <w:top w:val="nil"/>
              <w:left w:val="nil"/>
              <w:bottom w:val="nil"/>
              <w:right w:val="nil"/>
            </w:tcBorders>
            <w:shd w:val="clear" w:color="auto" w:fill="auto"/>
            <w:noWrap/>
            <w:vAlign w:val="bottom"/>
            <w:hideMark/>
          </w:tcPr>
          <w:p w14:paraId="7B6ED5E9" w14:textId="77777777" w:rsidR="00734B8A" w:rsidRPr="00737AA6" w:rsidRDefault="00734B8A" w:rsidP="00734B8A">
            <w:pPr>
              <w:spacing w:after="0" w:line="240" w:lineRule="auto"/>
              <w:rPr>
                <w:rFonts w:eastAsia="Times New Roman" w:cs="Calibri"/>
                <w:b/>
                <w:bCs/>
                <w:color w:val="000000"/>
                <w:sz w:val="16"/>
                <w:szCs w:val="18"/>
                <w:lang w:eastAsia="es-MX"/>
              </w:rPr>
            </w:pPr>
          </w:p>
        </w:tc>
      </w:tr>
      <w:tr w:rsidR="00734B8A" w:rsidRPr="00737AA6" w14:paraId="72511305" w14:textId="77777777" w:rsidTr="00737AA6">
        <w:trPr>
          <w:trHeight w:val="276"/>
        </w:trPr>
        <w:tc>
          <w:tcPr>
            <w:tcW w:w="1560" w:type="dxa"/>
            <w:gridSpan w:val="2"/>
            <w:tcBorders>
              <w:top w:val="nil"/>
              <w:left w:val="nil"/>
              <w:bottom w:val="nil"/>
              <w:right w:val="nil"/>
            </w:tcBorders>
            <w:shd w:val="clear" w:color="auto" w:fill="auto"/>
            <w:noWrap/>
            <w:vAlign w:val="center"/>
            <w:hideMark/>
          </w:tcPr>
          <w:p w14:paraId="4118EFAF"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4260" w:type="dxa"/>
            <w:gridSpan w:val="3"/>
            <w:tcBorders>
              <w:top w:val="nil"/>
              <w:left w:val="nil"/>
              <w:bottom w:val="nil"/>
              <w:right w:val="nil"/>
            </w:tcBorders>
            <w:shd w:val="clear" w:color="auto" w:fill="auto"/>
            <w:noWrap/>
            <w:vAlign w:val="bottom"/>
            <w:hideMark/>
          </w:tcPr>
          <w:p w14:paraId="74AFEC54" w14:textId="2AC6F47A" w:rsidR="00734B8A" w:rsidRPr="00737AA6" w:rsidRDefault="002E5D48" w:rsidP="00C527C9">
            <w:pPr>
              <w:spacing w:after="0" w:line="240" w:lineRule="auto"/>
              <w:jc w:val="center"/>
              <w:rPr>
                <w:rFonts w:ascii="Times New Roman" w:eastAsia="Times New Roman" w:hAnsi="Times New Roman" w:cs="Times New Roman"/>
                <w:sz w:val="16"/>
                <w:szCs w:val="20"/>
                <w:lang w:eastAsia="es-MX"/>
              </w:rPr>
            </w:pPr>
            <w:r w:rsidRPr="00737AA6">
              <w:rPr>
                <w:noProof/>
                <w:sz w:val="16"/>
              </w:rPr>
              <mc:AlternateContent>
                <mc:Choice Requires="wps">
                  <w:drawing>
                    <wp:anchor distT="45720" distB="45720" distL="114300" distR="114300" simplePos="0" relativeHeight="251658240" behindDoc="1" locked="0" layoutInCell="1" allowOverlap="1" wp14:anchorId="6525D1D8" wp14:editId="239532C4">
                      <wp:simplePos x="0" y="0"/>
                      <wp:positionH relativeFrom="column">
                        <wp:posOffset>-503555</wp:posOffset>
                      </wp:positionH>
                      <wp:positionV relativeFrom="paragraph">
                        <wp:posOffset>8890</wp:posOffset>
                      </wp:positionV>
                      <wp:extent cx="5758815" cy="1404620"/>
                      <wp:effectExtent l="0" t="0" r="13335" b="222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404620"/>
                              </a:xfrm>
                              <a:prstGeom prst="rect">
                                <a:avLst/>
                              </a:prstGeom>
                              <a:solidFill>
                                <a:srgbClr val="FFFFFF"/>
                              </a:solidFill>
                              <a:ln w="9525">
                                <a:solidFill>
                                  <a:schemeClr val="bg1"/>
                                </a:solidFill>
                                <a:miter lim="800000"/>
                                <a:headEnd/>
                                <a:tailEnd/>
                              </a:ln>
                            </wps:spPr>
                            <wps:txbx>
                              <w:txbxContent>
                                <w:p w14:paraId="75A2AD7E" w14:textId="00C20094" w:rsidR="00C527C9" w:rsidRPr="002E5D48" w:rsidRDefault="00C527C9">
                                  <w:pPr>
                                    <w:rPr>
                                      <w:sz w:val="14"/>
                                    </w:rPr>
                                  </w:pPr>
                                  <w:r w:rsidRPr="002E5D48">
                                    <w:rPr>
                                      <w:rFonts w:eastAsia="Times New Roman" w:cs="Calibri"/>
                                      <w:color w:val="000000"/>
                                      <w:sz w:val="14"/>
                                      <w:lang w:eastAsia="es-MX"/>
                                    </w:rPr>
                                    <w:t>Nota: El presupuesto relativo al capítulo 3000, Honorarios del CPS, correspondiente al 2018, incluye el pago de honorarios desde noviembre del 2017 a diciembre del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25D1D8" id="_x0000_t202" coordsize="21600,21600" o:spt="202" path="m,l,21600r21600,l21600,xe">
                      <v:stroke joinstyle="miter"/>
                      <v:path gradientshapeok="t" o:connecttype="rect"/>
                    </v:shapetype>
                    <v:shape id="Cuadro de texto 2" o:spid="_x0000_s1026" type="#_x0000_t202" style="position:absolute;left:0;text-align:left;margin-left:-39.65pt;margin-top:.7pt;width:453.4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" strokecolor="white [3212]">
                      <v:textbox style="mso-fit-shape-to-text:t">
                        <w:txbxContent>
                          <w:p w14:paraId="75A2AD7E" w14:textId="00C20094" w:rsidR="00C527C9" w:rsidRPr="002E5D48" w:rsidRDefault="00C527C9">
                            <w:pPr>
                              <w:rPr>
                                <w:sz w:val="14"/>
                              </w:rPr>
                            </w:pPr>
                            <w:r w:rsidRPr="002E5D48">
                              <w:rPr>
                                <w:rFonts w:eastAsia="Times New Roman" w:cs="Calibri"/>
                                <w:color w:val="000000"/>
                                <w:sz w:val="14"/>
                                <w:lang w:eastAsia="es-MX"/>
                              </w:rPr>
                              <w:t>Nota: El presupuesto relativo al capítulo 3000, Honorarios del CPS, correspondiente al 2018, incluye el pago de honorarios desde noviembre del 2017 a diciembre del 2018</w:t>
                            </w:r>
                          </w:p>
                        </w:txbxContent>
                      </v:textbox>
                    </v:shape>
                  </w:pict>
                </mc:Fallback>
              </mc:AlternateContent>
            </w:r>
          </w:p>
        </w:tc>
        <w:tc>
          <w:tcPr>
            <w:tcW w:w="2414" w:type="dxa"/>
            <w:gridSpan w:val="3"/>
            <w:tcBorders>
              <w:top w:val="nil"/>
              <w:left w:val="nil"/>
              <w:bottom w:val="nil"/>
              <w:right w:val="nil"/>
            </w:tcBorders>
            <w:shd w:val="clear" w:color="auto" w:fill="auto"/>
            <w:noWrap/>
            <w:vAlign w:val="bottom"/>
            <w:hideMark/>
          </w:tcPr>
          <w:p w14:paraId="1C0A57F7"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2526" w:type="dxa"/>
            <w:gridSpan w:val="2"/>
            <w:tcBorders>
              <w:top w:val="nil"/>
              <w:left w:val="nil"/>
              <w:bottom w:val="nil"/>
              <w:right w:val="nil"/>
            </w:tcBorders>
            <w:shd w:val="clear" w:color="auto" w:fill="auto"/>
            <w:noWrap/>
            <w:vAlign w:val="bottom"/>
            <w:hideMark/>
          </w:tcPr>
          <w:p w14:paraId="53DD6589"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2552" w:type="dxa"/>
            <w:gridSpan w:val="2"/>
            <w:tcBorders>
              <w:top w:val="nil"/>
              <w:left w:val="nil"/>
              <w:bottom w:val="nil"/>
              <w:right w:val="nil"/>
            </w:tcBorders>
            <w:shd w:val="clear" w:color="auto" w:fill="auto"/>
            <w:noWrap/>
            <w:vAlign w:val="bottom"/>
            <w:hideMark/>
          </w:tcPr>
          <w:p w14:paraId="6F8D2B8F"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1417" w:type="dxa"/>
            <w:tcBorders>
              <w:top w:val="nil"/>
              <w:left w:val="nil"/>
              <w:bottom w:val="nil"/>
              <w:right w:val="nil"/>
            </w:tcBorders>
            <w:shd w:val="clear" w:color="auto" w:fill="auto"/>
            <w:noWrap/>
            <w:vAlign w:val="bottom"/>
            <w:hideMark/>
          </w:tcPr>
          <w:p w14:paraId="15CCF148"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r>
      <w:tr w:rsidR="00734B8A" w:rsidRPr="00737AA6" w14:paraId="678637E5" w14:textId="77777777" w:rsidTr="00737AA6">
        <w:trPr>
          <w:trHeight w:val="276"/>
        </w:trPr>
        <w:tc>
          <w:tcPr>
            <w:tcW w:w="1560" w:type="dxa"/>
            <w:gridSpan w:val="2"/>
            <w:tcBorders>
              <w:top w:val="nil"/>
              <w:left w:val="nil"/>
              <w:bottom w:val="nil"/>
              <w:right w:val="nil"/>
            </w:tcBorders>
            <w:shd w:val="clear" w:color="auto" w:fill="auto"/>
            <w:noWrap/>
            <w:vAlign w:val="center"/>
            <w:hideMark/>
          </w:tcPr>
          <w:p w14:paraId="2B53AC0A"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4260" w:type="dxa"/>
            <w:gridSpan w:val="3"/>
            <w:tcBorders>
              <w:top w:val="nil"/>
              <w:left w:val="nil"/>
              <w:bottom w:val="nil"/>
              <w:right w:val="nil"/>
            </w:tcBorders>
            <w:shd w:val="clear" w:color="auto" w:fill="auto"/>
            <w:noWrap/>
            <w:vAlign w:val="bottom"/>
            <w:hideMark/>
          </w:tcPr>
          <w:p w14:paraId="43FBD3F9" w14:textId="7862B7A6" w:rsidR="00734B8A" w:rsidRPr="00737AA6" w:rsidRDefault="00734B8A" w:rsidP="00C527C9">
            <w:pPr>
              <w:spacing w:after="0" w:line="240" w:lineRule="auto"/>
              <w:jc w:val="center"/>
              <w:rPr>
                <w:rFonts w:ascii="Times New Roman" w:eastAsia="Times New Roman" w:hAnsi="Times New Roman" w:cs="Times New Roman"/>
                <w:sz w:val="16"/>
                <w:szCs w:val="20"/>
                <w:lang w:eastAsia="es-MX"/>
              </w:rPr>
            </w:pPr>
          </w:p>
        </w:tc>
        <w:tc>
          <w:tcPr>
            <w:tcW w:w="2414" w:type="dxa"/>
            <w:gridSpan w:val="3"/>
            <w:tcBorders>
              <w:top w:val="nil"/>
              <w:left w:val="nil"/>
              <w:bottom w:val="nil"/>
              <w:right w:val="nil"/>
            </w:tcBorders>
            <w:shd w:val="clear" w:color="auto" w:fill="auto"/>
            <w:noWrap/>
            <w:vAlign w:val="bottom"/>
            <w:hideMark/>
          </w:tcPr>
          <w:p w14:paraId="2EFFD737"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2526" w:type="dxa"/>
            <w:gridSpan w:val="2"/>
            <w:tcBorders>
              <w:top w:val="nil"/>
              <w:left w:val="nil"/>
              <w:bottom w:val="nil"/>
              <w:right w:val="nil"/>
            </w:tcBorders>
            <w:shd w:val="clear" w:color="auto" w:fill="auto"/>
            <w:noWrap/>
            <w:vAlign w:val="bottom"/>
            <w:hideMark/>
          </w:tcPr>
          <w:p w14:paraId="27F03811"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2552" w:type="dxa"/>
            <w:gridSpan w:val="2"/>
            <w:tcBorders>
              <w:top w:val="nil"/>
              <w:left w:val="nil"/>
              <w:bottom w:val="nil"/>
              <w:right w:val="nil"/>
            </w:tcBorders>
            <w:shd w:val="clear" w:color="auto" w:fill="auto"/>
            <w:noWrap/>
            <w:vAlign w:val="bottom"/>
            <w:hideMark/>
          </w:tcPr>
          <w:p w14:paraId="45A3AAE8"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1417" w:type="dxa"/>
            <w:tcBorders>
              <w:top w:val="nil"/>
              <w:left w:val="nil"/>
              <w:bottom w:val="nil"/>
              <w:right w:val="nil"/>
            </w:tcBorders>
            <w:shd w:val="clear" w:color="auto" w:fill="auto"/>
            <w:noWrap/>
            <w:vAlign w:val="bottom"/>
            <w:hideMark/>
          </w:tcPr>
          <w:p w14:paraId="32E0721B"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r>
      <w:tr w:rsidR="00734B8A" w:rsidRPr="00737AA6" w14:paraId="411FCF66" w14:textId="77777777" w:rsidTr="00737AA6">
        <w:trPr>
          <w:trHeight w:val="276"/>
        </w:trPr>
        <w:tc>
          <w:tcPr>
            <w:tcW w:w="1560" w:type="dxa"/>
            <w:gridSpan w:val="2"/>
            <w:tcBorders>
              <w:top w:val="nil"/>
              <w:left w:val="nil"/>
              <w:bottom w:val="nil"/>
              <w:right w:val="nil"/>
            </w:tcBorders>
            <w:shd w:val="clear" w:color="auto" w:fill="auto"/>
            <w:noWrap/>
            <w:vAlign w:val="center"/>
            <w:hideMark/>
          </w:tcPr>
          <w:p w14:paraId="231B2DFA"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4260" w:type="dxa"/>
            <w:gridSpan w:val="3"/>
            <w:tcBorders>
              <w:top w:val="nil"/>
              <w:left w:val="nil"/>
              <w:bottom w:val="nil"/>
              <w:right w:val="nil"/>
            </w:tcBorders>
            <w:shd w:val="clear" w:color="auto" w:fill="auto"/>
            <w:noWrap/>
            <w:vAlign w:val="bottom"/>
            <w:hideMark/>
          </w:tcPr>
          <w:p w14:paraId="64BF84DE" w14:textId="25A82A0E" w:rsidR="00734B8A" w:rsidRPr="00737AA6" w:rsidRDefault="00734B8A" w:rsidP="00C527C9">
            <w:pPr>
              <w:spacing w:after="0" w:line="240" w:lineRule="auto"/>
              <w:jc w:val="center"/>
              <w:rPr>
                <w:rFonts w:ascii="Times New Roman" w:eastAsia="Times New Roman" w:hAnsi="Times New Roman" w:cs="Times New Roman"/>
                <w:sz w:val="16"/>
                <w:szCs w:val="20"/>
                <w:lang w:eastAsia="es-MX"/>
              </w:rPr>
            </w:pPr>
          </w:p>
        </w:tc>
        <w:tc>
          <w:tcPr>
            <w:tcW w:w="2414" w:type="dxa"/>
            <w:gridSpan w:val="3"/>
            <w:tcBorders>
              <w:top w:val="nil"/>
              <w:left w:val="nil"/>
              <w:bottom w:val="nil"/>
              <w:right w:val="nil"/>
            </w:tcBorders>
            <w:shd w:val="clear" w:color="auto" w:fill="auto"/>
            <w:noWrap/>
            <w:vAlign w:val="bottom"/>
            <w:hideMark/>
          </w:tcPr>
          <w:p w14:paraId="22592991"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2526" w:type="dxa"/>
            <w:gridSpan w:val="2"/>
            <w:tcBorders>
              <w:top w:val="nil"/>
              <w:left w:val="nil"/>
              <w:bottom w:val="nil"/>
              <w:right w:val="nil"/>
            </w:tcBorders>
            <w:shd w:val="clear" w:color="auto" w:fill="auto"/>
            <w:noWrap/>
            <w:vAlign w:val="bottom"/>
            <w:hideMark/>
          </w:tcPr>
          <w:p w14:paraId="519C6F40"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2552" w:type="dxa"/>
            <w:gridSpan w:val="2"/>
            <w:tcBorders>
              <w:top w:val="nil"/>
              <w:left w:val="nil"/>
              <w:bottom w:val="nil"/>
              <w:right w:val="nil"/>
            </w:tcBorders>
            <w:shd w:val="clear" w:color="auto" w:fill="auto"/>
            <w:noWrap/>
            <w:vAlign w:val="bottom"/>
            <w:hideMark/>
          </w:tcPr>
          <w:p w14:paraId="7964C057"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c>
          <w:tcPr>
            <w:tcW w:w="1417" w:type="dxa"/>
            <w:tcBorders>
              <w:top w:val="nil"/>
              <w:left w:val="nil"/>
              <w:bottom w:val="nil"/>
              <w:right w:val="nil"/>
            </w:tcBorders>
            <w:shd w:val="clear" w:color="auto" w:fill="auto"/>
            <w:noWrap/>
            <w:vAlign w:val="bottom"/>
            <w:hideMark/>
          </w:tcPr>
          <w:p w14:paraId="2933BE7F" w14:textId="77777777" w:rsidR="00734B8A" w:rsidRPr="00737AA6" w:rsidRDefault="00734B8A" w:rsidP="00C527C9">
            <w:pPr>
              <w:spacing w:after="0" w:line="240" w:lineRule="auto"/>
              <w:rPr>
                <w:rFonts w:ascii="Times New Roman" w:eastAsia="Times New Roman" w:hAnsi="Times New Roman" w:cs="Times New Roman"/>
                <w:sz w:val="16"/>
                <w:szCs w:val="20"/>
                <w:lang w:eastAsia="es-MX"/>
              </w:rPr>
            </w:pPr>
          </w:p>
        </w:tc>
      </w:tr>
    </w:tbl>
    <w:p w14:paraId="33A94CE5" w14:textId="0652A22D" w:rsidR="00983380" w:rsidRDefault="006C2B3C" w:rsidP="00AB6D90">
      <w:pPr>
        <w:spacing w:line="240" w:lineRule="auto"/>
        <w:jc w:val="both"/>
      </w:pPr>
      <w:r>
        <w:t xml:space="preserve">La Secretaria Técnica </w:t>
      </w:r>
      <w:r w:rsidR="000A1AFD">
        <w:t xml:space="preserve">solicita con base </w:t>
      </w:r>
      <w:r w:rsidR="64B558A2">
        <w:t>en</w:t>
      </w:r>
      <w:r w:rsidR="000A1AFD">
        <w:t xml:space="preserve"> lo anterior </w:t>
      </w:r>
      <w:r w:rsidR="00BF54D1">
        <w:t xml:space="preserve">que se tome conocimiento de que se cumplió en tiempo y forma con lo solicitado por la Secretaría de la Hacienda Pública. </w:t>
      </w:r>
    </w:p>
    <w:p w14:paraId="00F7C34A" w14:textId="43938680" w:rsidR="006C2B3C" w:rsidRDefault="001707C6" w:rsidP="00B0061F">
      <w:pPr>
        <w:spacing w:line="240" w:lineRule="auto"/>
        <w:jc w:val="both"/>
      </w:pPr>
      <w:r>
        <w:lastRenderedPageBreak/>
        <w:t xml:space="preserve">El Fiscal Especializado consulta sobre </w:t>
      </w:r>
      <w:r w:rsidR="00531A67">
        <w:t>la partida 3331</w:t>
      </w:r>
      <w:r w:rsidR="1D012D3A">
        <w:t>,</w:t>
      </w:r>
      <w:r w:rsidR="00531A67">
        <w:t xml:space="preserve"> Servicios de consultoría administrativa e informática, </w:t>
      </w:r>
      <w:r w:rsidR="7B8D057C">
        <w:t xml:space="preserve">en la cual </w:t>
      </w:r>
      <w:r w:rsidR="005714A3">
        <w:t>se requiere</w:t>
      </w:r>
      <w:r w:rsidR="419F8658">
        <w:t>n</w:t>
      </w:r>
      <w:r w:rsidR="005714A3">
        <w:t xml:space="preserve"> más de $ 1,800,000.00 pesos, </w:t>
      </w:r>
      <w:r w:rsidR="00841310">
        <w:t xml:space="preserve">¿para qué se aplicarían? La Secretaria Técnica responde que ese monto se requiere, derivado de las necesidades de </w:t>
      </w:r>
      <w:r w:rsidR="328B3142">
        <w:t>p</w:t>
      </w:r>
      <w:r w:rsidR="00841310">
        <w:t xml:space="preserve">ortal web, </w:t>
      </w:r>
      <w:r w:rsidR="00221897">
        <w:t>explica que existen dos posibilidades para el almacenamiento de la información</w:t>
      </w:r>
      <w:r w:rsidR="00D3747E">
        <w:t xml:space="preserve"> y los requerimientos de interoperabilidad</w:t>
      </w:r>
      <w:r w:rsidR="0088768A">
        <w:t xml:space="preserve"> para dar cumplimiento a las obligaciones que derivan de la Plataforma Digital Nacional</w:t>
      </w:r>
      <w:r w:rsidR="63F848A1">
        <w:t>:</w:t>
      </w:r>
      <w:r w:rsidR="00D3747E">
        <w:t xml:space="preserve"> comprar los servidores y tenerlos en físico </w:t>
      </w:r>
      <w:r w:rsidR="008C4186">
        <w:t>o contar con el servicio de la nube</w:t>
      </w:r>
      <w:r w:rsidR="007E4C1A">
        <w:t>.</w:t>
      </w:r>
      <w:r w:rsidR="0088768A">
        <w:t xml:space="preserve"> </w:t>
      </w:r>
      <w:r w:rsidR="00D40505">
        <w:t xml:space="preserve">Menciona que según los resultados del análisis que se realizó los requerimientos específicos son: </w:t>
      </w:r>
    </w:p>
    <w:p w14:paraId="3BE931EC" w14:textId="048ED2F6" w:rsidR="00D40505" w:rsidRPr="00D40505" w:rsidRDefault="28CE3589" w:rsidP="44F2C78C">
      <w:pPr>
        <w:spacing w:after="0" w:line="240" w:lineRule="auto"/>
        <w:jc w:val="both"/>
        <w:rPr>
          <w:b/>
          <w:bCs/>
        </w:rPr>
      </w:pPr>
      <w:r w:rsidRPr="44F2C78C">
        <w:rPr>
          <w:b/>
          <w:bCs/>
        </w:rPr>
        <w:t>U</w:t>
      </w:r>
      <w:r w:rsidR="00D40505" w:rsidRPr="44F2C78C">
        <w:rPr>
          <w:b/>
          <w:bCs/>
        </w:rPr>
        <w:t>nidades de procesamiento</w:t>
      </w:r>
    </w:p>
    <w:p w14:paraId="7C2D10C9" w14:textId="759552BF" w:rsidR="00D40505" w:rsidRDefault="00D40505" w:rsidP="00D40505">
      <w:pPr>
        <w:spacing w:after="0" w:line="240" w:lineRule="auto"/>
        <w:jc w:val="both"/>
      </w:pPr>
      <w:r>
        <w:t xml:space="preserve">     4 servidores </w:t>
      </w:r>
      <w:r w:rsidR="6A36A5BB">
        <w:t>L</w:t>
      </w:r>
      <w:r>
        <w:t>inux</w:t>
      </w:r>
    </w:p>
    <w:p w14:paraId="67E9D7FE" w14:textId="2971BDA3" w:rsidR="00D40505" w:rsidRDefault="00D40505" w:rsidP="00D40505">
      <w:pPr>
        <w:spacing w:after="0" w:line="240" w:lineRule="auto"/>
        <w:jc w:val="both"/>
      </w:pPr>
      <w:r>
        <w:t xml:space="preserve">     1 servidor </w:t>
      </w:r>
      <w:r w:rsidR="1CFCA2C9">
        <w:t>W</w:t>
      </w:r>
      <w:r>
        <w:t>indows</w:t>
      </w:r>
    </w:p>
    <w:p w14:paraId="1110178C" w14:textId="3E148FC8" w:rsidR="00D40505" w:rsidRPr="00D40505" w:rsidRDefault="47CB9FFD" w:rsidP="44F2C78C">
      <w:pPr>
        <w:spacing w:after="0" w:line="240" w:lineRule="auto"/>
        <w:jc w:val="both"/>
        <w:rPr>
          <w:b/>
          <w:bCs/>
        </w:rPr>
      </w:pPr>
      <w:r w:rsidRPr="44F2C78C">
        <w:rPr>
          <w:b/>
          <w:bCs/>
        </w:rPr>
        <w:t>S</w:t>
      </w:r>
      <w:r w:rsidR="00D40505" w:rsidRPr="44F2C78C">
        <w:rPr>
          <w:b/>
          <w:bCs/>
        </w:rPr>
        <w:t>istemas de bases de datos</w:t>
      </w:r>
    </w:p>
    <w:p w14:paraId="31641B65" w14:textId="719B1F3E" w:rsidR="00D40505" w:rsidRDefault="00D40505" w:rsidP="00D40505">
      <w:pPr>
        <w:spacing w:after="0" w:line="240" w:lineRule="auto"/>
        <w:jc w:val="both"/>
      </w:pPr>
      <w:r>
        <w:t xml:space="preserve">      2 servidores o servicio </w:t>
      </w:r>
      <w:proofErr w:type="spellStart"/>
      <w:r>
        <w:t>bd</w:t>
      </w:r>
      <w:proofErr w:type="spellEnd"/>
      <w:r>
        <w:t xml:space="preserve"> (</w:t>
      </w:r>
      <w:proofErr w:type="spellStart"/>
      <w:r>
        <w:t>mysql</w:t>
      </w:r>
      <w:proofErr w:type="spellEnd"/>
      <w:r>
        <w:t>/</w:t>
      </w:r>
      <w:proofErr w:type="spellStart"/>
      <w:r>
        <w:t>mariadb</w:t>
      </w:r>
      <w:proofErr w:type="spellEnd"/>
      <w:r>
        <w:t>)</w:t>
      </w:r>
    </w:p>
    <w:p w14:paraId="687BBABF" w14:textId="6C3C9AF9" w:rsidR="00D40505" w:rsidRDefault="00D40505" w:rsidP="00D40505">
      <w:pPr>
        <w:spacing w:after="0" w:line="240" w:lineRule="auto"/>
        <w:jc w:val="both"/>
      </w:pPr>
      <w:r>
        <w:t xml:space="preserve">      1 servidor o servicio </w:t>
      </w:r>
      <w:r w:rsidR="0E4783CE">
        <w:t>M</w:t>
      </w:r>
      <w:r>
        <w:t xml:space="preserve">ongo </w:t>
      </w:r>
      <w:proofErr w:type="spellStart"/>
      <w:r>
        <w:t>db</w:t>
      </w:r>
      <w:proofErr w:type="spellEnd"/>
    </w:p>
    <w:p w14:paraId="6DB80F0B" w14:textId="54B9637B" w:rsidR="00D40505" w:rsidRDefault="00D40505" w:rsidP="00D40505">
      <w:pPr>
        <w:spacing w:after="0" w:line="240" w:lineRule="auto"/>
        <w:jc w:val="both"/>
      </w:pPr>
      <w:r>
        <w:t xml:space="preserve">      1 </w:t>
      </w:r>
      <w:r w:rsidR="3C34ECE9">
        <w:t>SQL</w:t>
      </w:r>
      <w:r>
        <w:t xml:space="preserve"> </w:t>
      </w:r>
      <w:r w:rsidR="7330180B">
        <w:t>M</w:t>
      </w:r>
      <w:r>
        <w:t>icrosoft (opcional)</w:t>
      </w:r>
    </w:p>
    <w:p w14:paraId="49261B25" w14:textId="77777777" w:rsidR="00D40505" w:rsidRPr="00D40505" w:rsidRDefault="00D40505" w:rsidP="00D40505">
      <w:pPr>
        <w:spacing w:after="0" w:line="240" w:lineRule="auto"/>
        <w:jc w:val="both"/>
        <w:rPr>
          <w:b/>
        </w:rPr>
      </w:pPr>
      <w:r w:rsidRPr="00D40505">
        <w:rPr>
          <w:b/>
        </w:rPr>
        <w:t>almacenamiento</w:t>
      </w:r>
    </w:p>
    <w:p w14:paraId="55EC47E9" w14:textId="10E62CA5" w:rsidR="00D40505" w:rsidRDefault="00D40505" w:rsidP="00D40505">
      <w:pPr>
        <w:spacing w:after="0" w:line="240" w:lineRule="auto"/>
        <w:jc w:val="both"/>
      </w:pPr>
      <w:r>
        <w:t xml:space="preserve">      5 </w:t>
      </w:r>
      <w:r w:rsidR="4B304BF0">
        <w:t>T</w:t>
      </w:r>
      <w:r>
        <w:t xml:space="preserve">b (para servidores o 1 </w:t>
      </w:r>
      <w:r w:rsidR="3F006756">
        <w:t>T</w:t>
      </w:r>
      <w:r>
        <w:t>b por servidor)</w:t>
      </w:r>
    </w:p>
    <w:p w14:paraId="648F9DF1" w14:textId="160B9DD7" w:rsidR="00D40505" w:rsidRDefault="00D40505" w:rsidP="00D40505">
      <w:pPr>
        <w:spacing w:after="0" w:line="240" w:lineRule="auto"/>
        <w:jc w:val="both"/>
      </w:pPr>
      <w:r>
        <w:t xml:space="preserve">      3 </w:t>
      </w:r>
      <w:r w:rsidR="6CFBCB40">
        <w:t>T</w:t>
      </w:r>
      <w:r>
        <w:t>b (para bases de datos)</w:t>
      </w:r>
    </w:p>
    <w:p w14:paraId="74AB20C2" w14:textId="18DBC33D" w:rsidR="00D40505" w:rsidRDefault="00D40505" w:rsidP="00D40505">
      <w:pPr>
        <w:spacing w:after="0" w:line="240" w:lineRule="auto"/>
        <w:jc w:val="both"/>
      </w:pPr>
      <w:r>
        <w:t xml:space="preserve">      5 </w:t>
      </w:r>
      <w:r w:rsidR="10C581BA">
        <w:t>T</w:t>
      </w:r>
      <w:r>
        <w:t xml:space="preserve">b para respaldo </w:t>
      </w:r>
    </w:p>
    <w:p w14:paraId="64149621" w14:textId="77777777" w:rsidR="00D40505" w:rsidRPr="00D40505" w:rsidRDefault="00D40505" w:rsidP="00D40505">
      <w:pPr>
        <w:spacing w:after="0" w:line="240" w:lineRule="auto"/>
        <w:jc w:val="both"/>
        <w:rPr>
          <w:b/>
        </w:rPr>
      </w:pPr>
      <w:r w:rsidRPr="00D40505">
        <w:rPr>
          <w:b/>
        </w:rPr>
        <w:t>otros:</w:t>
      </w:r>
    </w:p>
    <w:p w14:paraId="04D0604F" w14:textId="616FD53A" w:rsidR="00D40505" w:rsidRDefault="00D40505" w:rsidP="00D40505">
      <w:pPr>
        <w:spacing w:after="0" w:line="240" w:lineRule="auto"/>
        <w:jc w:val="both"/>
      </w:pPr>
      <w:r>
        <w:t xml:space="preserve">      4 direcciones </w:t>
      </w:r>
      <w:r w:rsidR="5C509DAE">
        <w:t>IP</w:t>
      </w:r>
      <w:r>
        <w:t xml:space="preserve"> el</w:t>
      </w:r>
      <w:r w:rsidR="7C38BEFA">
        <w:t>á</w:t>
      </w:r>
      <w:r>
        <w:t>sticas</w:t>
      </w:r>
    </w:p>
    <w:p w14:paraId="490B74E4" w14:textId="64A84E7A" w:rsidR="00D40505" w:rsidRDefault="00D40505" w:rsidP="00D40505">
      <w:pPr>
        <w:spacing w:after="0" w:line="240" w:lineRule="auto"/>
        <w:jc w:val="both"/>
      </w:pPr>
      <w:r>
        <w:t xml:space="preserve">     </w:t>
      </w:r>
      <w:r w:rsidR="62E75614">
        <w:t xml:space="preserve">1 </w:t>
      </w:r>
      <w:proofErr w:type="gramStart"/>
      <w:r w:rsidR="164D23C2">
        <w:t>D</w:t>
      </w:r>
      <w:r>
        <w:t>ata</w:t>
      </w:r>
      <w:proofErr w:type="gramEnd"/>
      <w:r>
        <w:t xml:space="preserve"> transfer </w:t>
      </w:r>
      <w:proofErr w:type="spellStart"/>
      <w:r>
        <w:t>out</w:t>
      </w:r>
      <w:proofErr w:type="spellEnd"/>
      <w:r>
        <w:t xml:space="preserve"> 1 </w:t>
      </w:r>
      <w:r w:rsidR="5D69330E">
        <w:t>T</w:t>
      </w:r>
      <w:r>
        <w:t>b o el recomendado</w:t>
      </w:r>
    </w:p>
    <w:p w14:paraId="57901F86" w14:textId="32FD722F" w:rsidR="00D40505" w:rsidRPr="00D40505" w:rsidRDefault="00D40505" w:rsidP="44F2C78C">
      <w:pPr>
        <w:spacing w:after="0" w:line="240" w:lineRule="auto"/>
        <w:jc w:val="both"/>
        <w:rPr>
          <w:b/>
          <w:bCs/>
        </w:rPr>
      </w:pPr>
      <w:r w:rsidRPr="44F2C78C">
        <w:rPr>
          <w:b/>
          <w:bCs/>
        </w:rPr>
        <w:t xml:space="preserve">servicio de </w:t>
      </w:r>
      <w:r w:rsidR="62EC1FFC" w:rsidRPr="44F2C78C">
        <w:rPr>
          <w:b/>
          <w:bCs/>
        </w:rPr>
        <w:t>DNS</w:t>
      </w:r>
    </w:p>
    <w:p w14:paraId="4F164992" w14:textId="01C9759C" w:rsidR="00D40505" w:rsidRDefault="00D40505" w:rsidP="00D40505">
      <w:pPr>
        <w:spacing w:after="0" w:line="240" w:lineRule="auto"/>
        <w:jc w:val="both"/>
      </w:pPr>
      <w:r>
        <w:t xml:space="preserve">      2 certificados </w:t>
      </w:r>
      <w:r w:rsidR="095DCE55">
        <w:t xml:space="preserve">SSL </w:t>
      </w:r>
      <w:r>
        <w:t>para sitios web</w:t>
      </w:r>
    </w:p>
    <w:p w14:paraId="23190289" w14:textId="702A7C66" w:rsidR="00D40505" w:rsidRDefault="00D40505" w:rsidP="00D40505">
      <w:pPr>
        <w:spacing w:after="0" w:line="240" w:lineRule="auto"/>
        <w:jc w:val="both"/>
      </w:pPr>
      <w:r>
        <w:t xml:space="preserve">      1 servicio de 1 </w:t>
      </w:r>
      <w:r w:rsidR="52D38CC2">
        <w:t>VPN</w:t>
      </w:r>
    </w:p>
    <w:p w14:paraId="2934DA8C" w14:textId="77777777" w:rsidR="00D67B32" w:rsidRDefault="00D67B32" w:rsidP="00D40505">
      <w:pPr>
        <w:spacing w:after="0" w:line="240" w:lineRule="auto"/>
        <w:jc w:val="both"/>
      </w:pPr>
    </w:p>
    <w:p w14:paraId="3C0B960C" w14:textId="1D3FDBC6" w:rsidR="00B0061F" w:rsidRDefault="00B0061F" w:rsidP="007240BB">
      <w:pPr>
        <w:spacing w:line="240" w:lineRule="auto"/>
        <w:jc w:val="both"/>
      </w:pPr>
      <w:r>
        <w:t xml:space="preserve">El </w:t>
      </w:r>
      <w:proofErr w:type="gramStart"/>
      <w:r>
        <w:t>Presidente</w:t>
      </w:r>
      <w:proofErr w:type="gramEnd"/>
      <w:r>
        <w:t xml:space="preserve"> del Órgano de Gobierno </w:t>
      </w:r>
      <w:r w:rsidR="002757FF">
        <w:t xml:space="preserve">consulta si existe algún otro comentario. </w:t>
      </w:r>
      <w:r w:rsidR="00C921D8">
        <w:t xml:space="preserve">La </w:t>
      </w:r>
      <w:proofErr w:type="gramStart"/>
      <w:r w:rsidR="00C921D8">
        <w:t>Presidenta</w:t>
      </w:r>
      <w:proofErr w:type="gramEnd"/>
      <w:r w:rsidR="00C921D8">
        <w:t xml:space="preserve"> del ITEI </w:t>
      </w:r>
      <w:r w:rsidR="00643F52">
        <w:t xml:space="preserve">solicita conocer el tema del </w:t>
      </w:r>
      <w:r w:rsidR="00C527C9">
        <w:t>a</w:t>
      </w:r>
      <w:r w:rsidR="00643F52">
        <w:t>nteproyecto de manera más específica</w:t>
      </w:r>
      <w:r w:rsidR="002B0EE1">
        <w:t xml:space="preserve"> y a profundidad</w:t>
      </w:r>
      <w:r w:rsidR="292066F9">
        <w:t>,</w:t>
      </w:r>
      <w:r w:rsidR="002B0EE1">
        <w:t xml:space="preserve"> y consulta cuál fue el proceso que se siguió</w:t>
      </w:r>
      <w:r w:rsidR="00642EF8">
        <w:t xml:space="preserve">. Señala también que en la </w:t>
      </w:r>
      <w:r w:rsidR="57B430CF">
        <w:t>s</w:t>
      </w:r>
      <w:r w:rsidR="00642EF8">
        <w:t xml:space="preserve">esión del 4 de septiembre del 2018 solicitó que </w:t>
      </w:r>
      <w:r w:rsidR="00654193">
        <w:t xml:space="preserve">se aprobara el </w:t>
      </w:r>
      <w:r w:rsidR="00C527C9">
        <w:t>a</w:t>
      </w:r>
      <w:r w:rsidR="00654193">
        <w:t xml:space="preserve">nteproyecto de </w:t>
      </w:r>
      <w:r w:rsidR="00C527C9">
        <w:t>p</w:t>
      </w:r>
      <w:r w:rsidR="00654193">
        <w:t>resupuesto por el Órgano de Gobierno, antes de que se presentara a la Secretaría de</w:t>
      </w:r>
      <w:r w:rsidR="003043F8">
        <w:t xml:space="preserve"> Finanzas</w:t>
      </w:r>
      <w:r w:rsidR="00654193">
        <w:t xml:space="preserve">, </w:t>
      </w:r>
      <w:r w:rsidR="005D1CF2">
        <w:t>ello derivado de que la Ley del Sistema Anticorrupción del Estado de Jalisco señala que el Órgano de Gobierno</w:t>
      </w:r>
      <w:r w:rsidR="00221D3B">
        <w:t xml:space="preserve"> de la Secretaría Ejecutiva deberá</w:t>
      </w:r>
      <w:r w:rsidR="5B219329">
        <w:t>n</w:t>
      </w:r>
      <w:r w:rsidR="00221D3B">
        <w:t xml:space="preserve"> atender las atribuciones </w:t>
      </w:r>
      <w:r w:rsidR="00677551">
        <w:t xml:space="preserve">para los órganos de gobierno </w:t>
      </w:r>
      <w:r w:rsidR="00221D3B">
        <w:t xml:space="preserve">que están establecidas en la </w:t>
      </w:r>
      <w:r w:rsidR="00BF002D">
        <w:t xml:space="preserve">Ley Orgánica del Poder Ejecutivo del Estado de Jalisco, </w:t>
      </w:r>
      <w:r w:rsidR="008D1F5F">
        <w:t xml:space="preserve">e insiste específicamente en la de aprobar el </w:t>
      </w:r>
      <w:r w:rsidR="00C527C9">
        <w:t>a</w:t>
      </w:r>
      <w:r w:rsidR="008D1F5F">
        <w:t xml:space="preserve">nteproyecto de </w:t>
      </w:r>
      <w:r w:rsidR="00C527C9">
        <w:t>p</w:t>
      </w:r>
      <w:r w:rsidR="008D1F5F">
        <w:t xml:space="preserve">resupuesto. </w:t>
      </w:r>
      <w:r w:rsidR="004F42E0">
        <w:t xml:space="preserve"> </w:t>
      </w:r>
    </w:p>
    <w:p w14:paraId="44A04784" w14:textId="7D5E7CBC" w:rsidR="000F030F" w:rsidRDefault="000F030F" w:rsidP="007240BB">
      <w:pPr>
        <w:spacing w:line="240" w:lineRule="auto"/>
        <w:jc w:val="both"/>
      </w:pPr>
      <w:r>
        <w:t xml:space="preserve">La </w:t>
      </w:r>
      <w:proofErr w:type="gramStart"/>
      <w:r>
        <w:t>Presidenta</w:t>
      </w:r>
      <w:proofErr w:type="gramEnd"/>
      <w:r>
        <w:t xml:space="preserve"> del ITEI considera que se debería seguir el camino que se sigue en todas las instituciones, </w:t>
      </w:r>
      <w:r w:rsidR="00E234C1">
        <w:t xml:space="preserve">que es presentar el </w:t>
      </w:r>
      <w:r w:rsidR="00C527C9">
        <w:t>a</w:t>
      </w:r>
      <w:r w:rsidR="00E234C1">
        <w:t xml:space="preserve">nteproyecto de </w:t>
      </w:r>
      <w:r w:rsidR="00C527C9">
        <w:t>p</w:t>
      </w:r>
      <w:r w:rsidR="00E234C1">
        <w:t xml:space="preserve">resupuesto al Órgano de Gobierno, </w:t>
      </w:r>
      <w:r w:rsidR="003C2511">
        <w:t>aprobarlo y posteriormente enviarse a la Secretaría</w:t>
      </w:r>
      <w:r w:rsidR="00643513">
        <w:t xml:space="preserve"> de </w:t>
      </w:r>
      <w:r w:rsidR="003043F8">
        <w:t>Finanzas</w:t>
      </w:r>
      <w:r w:rsidR="003C2511">
        <w:t xml:space="preserve">. </w:t>
      </w:r>
      <w:r w:rsidR="00994B3F">
        <w:t>Contin</w:t>
      </w:r>
      <w:r w:rsidR="3453CD35">
        <w:t>úa</w:t>
      </w:r>
      <w:r w:rsidR="00994B3F">
        <w:t xml:space="preserve"> insistiendo que lo señaló en la </w:t>
      </w:r>
      <w:r w:rsidR="28BF654B">
        <w:t>s</w:t>
      </w:r>
      <w:r w:rsidR="00994B3F">
        <w:t>esión del 4 de septiembre del 2018</w:t>
      </w:r>
      <w:r w:rsidR="00BE7C86">
        <w:t xml:space="preserve">, en </w:t>
      </w:r>
      <w:r w:rsidR="18B4AEA6">
        <w:t xml:space="preserve">la </w:t>
      </w:r>
      <w:r w:rsidR="18B4AEA6">
        <w:lastRenderedPageBreak/>
        <w:t xml:space="preserve">cual </w:t>
      </w:r>
      <w:r w:rsidR="00BE7C86">
        <w:t xml:space="preserve">quedó </w:t>
      </w:r>
      <w:r w:rsidR="68DEF4E2">
        <w:t>indi</w:t>
      </w:r>
      <w:r w:rsidR="00BE7C86">
        <w:t>c</w:t>
      </w:r>
      <w:r w:rsidR="68DEF4E2">
        <w:t>ada c</w:t>
      </w:r>
      <w:r w:rsidR="00BE7C86">
        <w:t xml:space="preserve">laramente </w:t>
      </w:r>
      <w:r w:rsidR="00A27713">
        <w:t>la observación, por lo que reitera la solicitud</w:t>
      </w:r>
      <w:r w:rsidR="00E91E0E">
        <w:t xml:space="preserve">. Expresa que como </w:t>
      </w:r>
      <w:r w:rsidR="00CB64F5">
        <w:t>integrante</w:t>
      </w:r>
      <w:r w:rsidR="00E91E0E">
        <w:t xml:space="preserve"> del ITEI </w:t>
      </w:r>
      <w:r w:rsidR="00F429FA">
        <w:t>lo toma como de conocimiento</w:t>
      </w:r>
      <w:r w:rsidR="2399DD2F">
        <w:t xml:space="preserve">; </w:t>
      </w:r>
      <w:r w:rsidR="00F429FA">
        <w:t>sin embargo</w:t>
      </w:r>
      <w:r w:rsidR="3BAA9AE8">
        <w:t>,</w:t>
      </w:r>
      <w:r w:rsidR="00F429FA">
        <w:t xml:space="preserve"> s</w:t>
      </w:r>
      <w:r w:rsidR="3880278E">
        <w:t>ubraya</w:t>
      </w:r>
      <w:r w:rsidR="00F429FA">
        <w:t xml:space="preserve"> que no se sometió a aprobación del Órgano de Gobierno, </w:t>
      </w:r>
      <w:r w:rsidR="00924B19">
        <w:t xml:space="preserve">y reitera su solicitud para que en 2020 </w:t>
      </w:r>
      <w:r w:rsidR="004E50D8">
        <w:t xml:space="preserve">se realice el proceso correspondiente de aprobación. </w:t>
      </w:r>
    </w:p>
    <w:p w14:paraId="03DD1A07" w14:textId="6995E6D8" w:rsidR="00704F2F" w:rsidRDefault="1D283344" w:rsidP="007240BB">
      <w:pPr>
        <w:spacing w:line="240" w:lineRule="auto"/>
        <w:jc w:val="both"/>
      </w:pPr>
      <w:r>
        <w:t>L</w:t>
      </w:r>
      <w:r w:rsidR="00704F2F">
        <w:t xml:space="preserve">a </w:t>
      </w:r>
      <w:proofErr w:type="gramStart"/>
      <w:r w:rsidR="00704F2F">
        <w:t>Presidenta</w:t>
      </w:r>
      <w:proofErr w:type="gramEnd"/>
      <w:r w:rsidR="00704F2F">
        <w:t xml:space="preserve"> del ITEI</w:t>
      </w:r>
      <w:r w:rsidR="00301D61">
        <w:t xml:space="preserve"> indica que existe un rubro </w:t>
      </w:r>
      <w:r w:rsidR="0096268D">
        <w:t xml:space="preserve">donde se establece que el </w:t>
      </w:r>
      <w:r w:rsidR="00C527C9">
        <w:t>a</w:t>
      </w:r>
      <w:r w:rsidR="0096268D">
        <w:t xml:space="preserve">nteproyecto de </w:t>
      </w:r>
      <w:r w:rsidR="00C527C9">
        <w:t>p</w:t>
      </w:r>
      <w:r w:rsidR="0096268D">
        <w:t xml:space="preserve">resupuesto </w:t>
      </w:r>
      <w:r w:rsidR="004251BD">
        <w:t>debe ser para la atención de la Secretaría Ejecutiva, tomando en cuenta al Comité de Participación Social</w:t>
      </w:r>
      <w:r w:rsidR="0EBABFCD">
        <w:t>;</w:t>
      </w:r>
      <w:r w:rsidR="004251BD">
        <w:t xml:space="preserve"> </w:t>
      </w:r>
      <w:r w:rsidR="000608D2">
        <w:t xml:space="preserve">consulta si dicho proceso se realizó. </w:t>
      </w:r>
      <w:r w:rsidR="00D922D0">
        <w:t>Consider</w:t>
      </w:r>
      <w:r w:rsidR="008C10D4">
        <w:t xml:space="preserve">a importante que </w:t>
      </w:r>
      <w:r w:rsidR="008E7DAA">
        <w:t xml:space="preserve">se atiendan cada uno de los puntos de las diferentes normatividades, resalta que la institución está en construcción, sin </w:t>
      </w:r>
      <w:proofErr w:type="gramStart"/>
      <w:r w:rsidR="008E7DAA">
        <w:t>embargo</w:t>
      </w:r>
      <w:proofErr w:type="gramEnd"/>
      <w:r w:rsidR="008E7DAA">
        <w:t xml:space="preserve"> considera necesario que cada uno de los integrantes aporte ya que pueden verse representadas dichas propuestas, en el trabajo que desarrolle la Secretaría Ejecutiva. Destaca que el anteproyecto es para que la Secretaría lo ejecute</w:t>
      </w:r>
      <w:r w:rsidR="00951B2D">
        <w:t xml:space="preserve"> y reitera que se debe ver reflejado, con la aprobación del Órgano de Gobierno. </w:t>
      </w:r>
    </w:p>
    <w:p w14:paraId="75643311" w14:textId="2007FB07" w:rsidR="00951B2D" w:rsidRDefault="00951B2D" w:rsidP="007240BB">
      <w:pPr>
        <w:spacing w:line="240" w:lineRule="auto"/>
        <w:jc w:val="both"/>
      </w:pPr>
      <w:r>
        <w:t xml:space="preserve">La </w:t>
      </w:r>
      <w:proofErr w:type="gramStart"/>
      <w:r>
        <w:t>Presidenta</w:t>
      </w:r>
      <w:proofErr w:type="gramEnd"/>
      <w:r>
        <w:t xml:space="preserve"> del ITE destaca los fundamentos en los cuales se basan sus requerimientos de aprobación: los artículos 29 de la Ley del Sistema Anticorrupción del Estado de Jalisco, 74 de la Ley Orgánica del Poder Ejecutivo del Estado de Jalisco y el 29 de la Ley Presupuesto, Contabilidad y Gasto Público del Estado de Jalisco.</w:t>
      </w:r>
    </w:p>
    <w:p w14:paraId="2E2BD82D" w14:textId="6D360C17" w:rsidR="0022101C" w:rsidRDefault="0022101C" w:rsidP="007240BB">
      <w:pPr>
        <w:spacing w:line="240" w:lineRule="auto"/>
        <w:jc w:val="both"/>
      </w:pPr>
      <w:r>
        <w:t xml:space="preserve">La Secretaria Técnica </w:t>
      </w:r>
      <w:r w:rsidR="007E37B2">
        <w:t xml:space="preserve">responde </w:t>
      </w:r>
      <w:proofErr w:type="gramStart"/>
      <w:r w:rsidR="007E37B2">
        <w:t>que</w:t>
      </w:r>
      <w:proofErr w:type="gramEnd"/>
      <w:r w:rsidR="007E37B2">
        <w:t xml:space="preserve"> si bien se </w:t>
      </w:r>
      <w:r w:rsidR="002474B1">
        <w:t>comentó</w:t>
      </w:r>
      <w:r w:rsidR="007E37B2">
        <w:t xml:space="preserve">, no quedó establecido como Acuerdo en la Sesión del 4 de septiembre del 2018, por lo que sugiere que está ocasión quede no solo en el desarrollo del Acta, sino como Acuerdo. </w:t>
      </w:r>
    </w:p>
    <w:p w14:paraId="03D94BCB" w14:textId="55954D98" w:rsidR="0015147C" w:rsidRPr="007240BB" w:rsidRDefault="0015147C" w:rsidP="007240BB">
      <w:pPr>
        <w:spacing w:line="240" w:lineRule="auto"/>
        <w:jc w:val="both"/>
      </w:pPr>
      <w:r>
        <w:t xml:space="preserve">La </w:t>
      </w:r>
      <w:proofErr w:type="gramStart"/>
      <w:r>
        <w:t>Presidenta</w:t>
      </w:r>
      <w:proofErr w:type="gramEnd"/>
      <w:r>
        <w:t xml:space="preserve"> del ITEI comenta que sí quedó establecido lo que se requirió en la Sesión del 4 de septiembre del 2018</w:t>
      </w:r>
      <w:r w:rsidR="00E320CC">
        <w:t xml:space="preserve"> y señala que el </w:t>
      </w:r>
      <w:r w:rsidR="7572A6D9">
        <w:t>a</w:t>
      </w:r>
      <w:r w:rsidR="00E320CC">
        <w:t xml:space="preserve">cuerdo establece que </w:t>
      </w:r>
      <w:r w:rsidR="00136E46">
        <w:t xml:space="preserve">los </w:t>
      </w:r>
      <w:r w:rsidR="23809CFB">
        <w:t>i</w:t>
      </w:r>
      <w:r w:rsidR="00136E46">
        <w:t xml:space="preserve">ntegrantes del Órgano de Gobierno </w:t>
      </w:r>
      <w:r w:rsidR="00951B2D">
        <w:t xml:space="preserve">tengan conocimiento del </w:t>
      </w:r>
      <w:r w:rsidR="00C527C9">
        <w:t>a</w:t>
      </w:r>
      <w:r w:rsidR="00951B2D">
        <w:t xml:space="preserve">nteproyecto de </w:t>
      </w:r>
      <w:r w:rsidR="00C527C9">
        <w:t>p</w:t>
      </w:r>
      <w:r w:rsidR="00951B2D">
        <w:t xml:space="preserve">resupuesto para su aprobación. </w:t>
      </w:r>
      <w:r w:rsidR="002474B1">
        <w:t xml:space="preserve"> </w:t>
      </w:r>
    </w:p>
    <w:p w14:paraId="745523D8" w14:textId="5B98CF3F" w:rsidR="00655A3F" w:rsidRDefault="00AA39B1" w:rsidP="44F2C78C">
      <w:pPr>
        <w:contextualSpacing/>
        <w:jc w:val="both"/>
        <w:rPr>
          <w:rFonts w:cs="AppleSystemUIFont"/>
          <w:color w:val="000000" w:themeColor="text1"/>
        </w:rPr>
      </w:pPr>
      <w:r w:rsidRPr="44F2C78C">
        <w:rPr>
          <w:rFonts w:cs="AppleSystemUIFont"/>
          <w:color w:val="000000" w:themeColor="text1"/>
        </w:rPr>
        <w:t xml:space="preserve">La Secretaria Técnica confirma que se les presenta el </w:t>
      </w:r>
      <w:r w:rsidR="00C527C9">
        <w:rPr>
          <w:rFonts w:cs="AppleSystemUIFont"/>
          <w:color w:val="000000" w:themeColor="text1"/>
        </w:rPr>
        <w:t>a</w:t>
      </w:r>
      <w:r w:rsidRPr="44F2C78C">
        <w:rPr>
          <w:rFonts w:cs="AppleSystemUIFont"/>
          <w:color w:val="000000" w:themeColor="text1"/>
        </w:rPr>
        <w:t xml:space="preserve">nteproyecto de </w:t>
      </w:r>
      <w:r w:rsidR="00C527C9">
        <w:rPr>
          <w:rFonts w:cs="AppleSystemUIFont"/>
          <w:color w:val="000000" w:themeColor="text1"/>
        </w:rPr>
        <w:t>p</w:t>
      </w:r>
      <w:r w:rsidRPr="44F2C78C">
        <w:rPr>
          <w:rFonts w:cs="AppleSystemUIFont"/>
          <w:color w:val="000000" w:themeColor="text1"/>
        </w:rPr>
        <w:t xml:space="preserve">resupuesto 2020 para el conocimiento del Órgano de Gobierno, </w:t>
      </w:r>
      <w:r w:rsidR="00951B2D">
        <w:rPr>
          <w:rFonts w:cs="AppleSystemUIFont"/>
          <w:color w:val="000000" w:themeColor="text1"/>
        </w:rPr>
        <w:t xml:space="preserve">resalta que un antecedente jurídico sobre la </w:t>
      </w:r>
      <w:r w:rsidR="00951B2D">
        <w:t>Ley Orgánica del Poder Ejecutivo del Estado de Jalisco</w:t>
      </w:r>
      <w:r w:rsidR="00951B2D">
        <w:rPr>
          <w:rFonts w:cs="AppleSystemUIFont"/>
          <w:color w:val="000000" w:themeColor="text1"/>
        </w:rPr>
        <w:t xml:space="preserve">, es que tuvo modificaciones este año, </w:t>
      </w:r>
      <w:r w:rsidR="00655A3F">
        <w:rPr>
          <w:rFonts w:cs="AppleSystemUIFont"/>
          <w:color w:val="000000" w:themeColor="text1"/>
        </w:rPr>
        <w:t xml:space="preserve">por lo que cuando se elaboró el Estatuto Orgánico de la Secretaría Ejecutiva, se estableció la aprobación del </w:t>
      </w:r>
      <w:r w:rsidR="00C527C9">
        <w:rPr>
          <w:rFonts w:cs="AppleSystemUIFont"/>
          <w:color w:val="000000" w:themeColor="text1"/>
        </w:rPr>
        <w:t>p</w:t>
      </w:r>
      <w:r w:rsidR="00655A3F">
        <w:rPr>
          <w:rFonts w:cs="AppleSystemUIFont"/>
          <w:color w:val="000000" w:themeColor="text1"/>
        </w:rPr>
        <w:t xml:space="preserve">royecto de </w:t>
      </w:r>
      <w:r w:rsidR="00C527C9">
        <w:rPr>
          <w:rFonts w:cs="AppleSystemUIFont"/>
          <w:color w:val="000000" w:themeColor="text1"/>
        </w:rPr>
        <w:t>p</w:t>
      </w:r>
      <w:r w:rsidR="00655A3F">
        <w:rPr>
          <w:rFonts w:cs="AppleSystemUIFont"/>
          <w:color w:val="000000" w:themeColor="text1"/>
        </w:rPr>
        <w:t xml:space="preserve">resupuesto y no del </w:t>
      </w:r>
      <w:r w:rsidR="00C527C9">
        <w:rPr>
          <w:rFonts w:cs="AppleSystemUIFont"/>
          <w:color w:val="000000" w:themeColor="text1"/>
        </w:rPr>
        <w:t>a</w:t>
      </w:r>
      <w:r w:rsidR="00655A3F">
        <w:rPr>
          <w:rFonts w:cs="AppleSystemUIFont"/>
          <w:color w:val="000000" w:themeColor="text1"/>
        </w:rPr>
        <w:t xml:space="preserve">nteproyecto de </w:t>
      </w:r>
      <w:r w:rsidR="00C527C9">
        <w:rPr>
          <w:rFonts w:cs="AppleSystemUIFont"/>
          <w:color w:val="000000" w:themeColor="text1"/>
        </w:rPr>
        <w:t>p</w:t>
      </w:r>
      <w:r w:rsidR="00655A3F">
        <w:rPr>
          <w:rFonts w:cs="AppleSystemUIFont"/>
          <w:color w:val="000000" w:themeColor="text1"/>
        </w:rPr>
        <w:t xml:space="preserve">resupuesto, </w:t>
      </w:r>
      <w:r w:rsidR="00951B2D">
        <w:rPr>
          <w:rFonts w:cs="AppleSystemUIFont"/>
          <w:color w:val="000000" w:themeColor="text1"/>
        </w:rPr>
        <w:t xml:space="preserve"> </w:t>
      </w:r>
      <w:r w:rsidR="00EF0F76" w:rsidRPr="44F2C78C">
        <w:rPr>
          <w:rFonts w:cs="AppleSystemUIFont"/>
          <w:color w:val="000000" w:themeColor="text1"/>
        </w:rPr>
        <w:t xml:space="preserve">y señala que dado el proceso de presupuesto existen más momentos </w:t>
      </w:r>
      <w:r w:rsidR="00022AF2" w:rsidRPr="44F2C78C">
        <w:rPr>
          <w:rFonts w:cs="AppleSystemUIFont"/>
          <w:color w:val="000000" w:themeColor="text1"/>
        </w:rPr>
        <w:t>en los que se pueden realizar las modificaciones que se requieran</w:t>
      </w:r>
      <w:r w:rsidR="00655A3F">
        <w:rPr>
          <w:rFonts w:cs="AppleSystemUIFont"/>
          <w:color w:val="000000" w:themeColor="text1"/>
        </w:rPr>
        <w:t xml:space="preserve">, derivadas del análisis económico que se realice por parte de la Secretaría de </w:t>
      </w:r>
      <w:r w:rsidR="00643513">
        <w:rPr>
          <w:rFonts w:cs="AppleSystemUIFont"/>
          <w:color w:val="000000" w:themeColor="text1"/>
        </w:rPr>
        <w:t>la Hacienda Pública</w:t>
      </w:r>
      <w:r w:rsidR="00655A3F">
        <w:rPr>
          <w:rFonts w:cs="AppleSystemUIFont"/>
          <w:color w:val="000000" w:themeColor="text1"/>
        </w:rPr>
        <w:t xml:space="preserve">, por lo que, en caso de que existan observaciones a partir de este momento, se pueden hacer llegar a dicha Secretaría por oficio. </w:t>
      </w:r>
    </w:p>
    <w:p w14:paraId="02DE14E9" w14:textId="77777777" w:rsidR="00655A3F" w:rsidRDefault="00655A3F" w:rsidP="44F2C78C">
      <w:pPr>
        <w:contextualSpacing/>
        <w:jc w:val="both"/>
        <w:rPr>
          <w:rFonts w:cs="AppleSystemUIFont"/>
          <w:color w:val="000000" w:themeColor="text1"/>
        </w:rPr>
      </w:pPr>
    </w:p>
    <w:p w14:paraId="7DC2CA3B" w14:textId="7F906687" w:rsidR="00B0061F" w:rsidRDefault="00655A3F" w:rsidP="49C01C41">
      <w:pPr>
        <w:contextualSpacing/>
        <w:jc w:val="both"/>
        <w:rPr>
          <w:rFonts w:cs="AppleSystemUIFont"/>
          <w:color w:val="000000" w:themeColor="text1"/>
        </w:rPr>
      </w:pPr>
      <w:r w:rsidRPr="49C01C41">
        <w:rPr>
          <w:rFonts w:cs="AppleSystemUIFont"/>
          <w:color w:val="000000" w:themeColor="text1"/>
        </w:rPr>
        <w:lastRenderedPageBreak/>
        <w:t xml:space="preserve">La Secretaria Técnica continua, les recuerda que aún falta que la Secretaría de </w:t>
      </w:r>
      <w:r w:rsidR="0FC584FC" w:rsidRPr="49C01C41">
        <w:rPr>
          <w:rFonts w:cs="AppleSystemUIFont"/>
          <w:color w:val="000000" w:themeColor="text1"/>
        </w:rPr>
        <w:t>la Hacienda Pública</w:t>
      </w:r>
      <w:r w:rsidRPr="49C01C41">
        <w:rPr>
          <w:rFonts w:cs="AppleSystemUIFont"/>
          <w:color w:val="000000" w:themeColor="text1"/>
        </w:rPr>
        <w:t xml:space="preserve"> envíe el paquete presupuestario al Congreso del Estado, quién determinará las cuantías correspondientes a la Secretaría Ejecutiva, </w:t>
      </w:r>
      <w:r w:rsidR="00643513" w:rsidRPr="49C01C41">
        <w:rPr>
          <w:rFonts w:cs="AppleSystemUIFont"/>
          <w:color w:val="000000" w:themeColor="text1"/>
        </w:rPr>
        <w:t xml:space="preserve">y posteriormente se presentará el Presupuesto de Egresos de la Secretaría Ejecutiva, para su aprobación. Propone que se señale un día exacto, ya que la </w:t>
      </w:r>
      <w:r w:rsidR="00643513">
        <w:t xml:space="preserve">Ley Orgánica del Poder Ejecutivo del Estado de Jalisco, dentro de las obligaciones del Secretario no establece un día exacto de presentación, sin embargo toma nota de las observaciones de la Presidenta del ITEI y reitera que el </w:t>
      </w:r>
      <w:r w:rsidR="00C527C9">
        <w:t>a</w:t>
      </w:r>
      <w:r w:rsidR="00643513">
        <w:t xml:space="preserve">nteproyecto de </w:t>
      </w:r>
      <w:r w:rsidR="00C527C9">
        <w:t>p</w:t>
      </w:r>
      <w:r w:rsidR="00643513">
        <w:t xml:space="preserve">resupuesto, es presentado para su conocimiento y propone que se revise el documento a profundidad y en caso de que se tenga alguna observación, se le hará llegar a la Secretaría </w:t>
      </w:r>
      <w:r w:rsidR="08AB6D48">
        <w:t xml:space="preserve">lo </w:t>
      </w:r>
      <w:r w:rsidR="00643513">
        <w:t xml:space="preserve">correspondiente. </w:t>
      </w:r>
    </w:p>
    <w:p w14:paraId="75C95424" w14:textId="47ADEEE6" w:rsidR="00B80BD8" w:rsidRDefault="00B80BD8" w:rsidP="00B0061F">
      <w:pPr>
        <w:contextualSpacing/>
        <w:jc w:val="both"/>
        <w:rPr>
          <w:rFonts w:cs="AppleSystemUIFont"/>
          <w:color w:val="000000" w:themeColor="text1"/>
        </w:rPr>
      </w:pPr>
    </w:p>
    <w:p w14:paraId="7E55E5C1" w14:textId="6F710780" w:rsidR="00643513" w:rsidRDefault="00643513" w:rsidP="00B0061F">
      <w:pPr>
        <w:contextualSpacing/>
        <w:jc w:val="both"/>
      </w:pPr>
      <w:r>
        <w:rPr>
          <w:rFonts w:cs="AppleSystemUIFont"/>
          <w:color w:val="000000" w:themeColor="text1"/>
        </w:rPr>
        <w:t xml:space="preserve">La </w:t>
      </w:r>
      <w:proofErr w:type="gramStart"/>
      <w:r>
        <w:rPr>
          <w:rFonts w:cs="AppleSystemUIFont"/>
          <w:color w:val="000000" w:themeColor="text1"/>
        </w:rPr>
        <w:t>Presidenta</w:t>
      </w:r>
      <w:proofErr w:type="gramEnd"/>
      <w:r>
        <w:rPr>
          <w:rFonts w:cs="AppleSystemUIFont"/>
          <w:color w:val="000000" w:themeColor="text1"/>
        </w:rPr>
        <w:t xml:space="preserve"> del ITEI responde que su solicitud es en relación a la aprobación del </w:t>
      </w:r>
      <w:r w:rsidR="00C527C9">
        <w:rPr>
          <w:rFonts w:cs="AppleSystemUIFont"/>
          <w:color w:val="000000" w:themeColor="text1"/>
        </w:rPr>
        <w:t>a</w:t>
      </w:r>
      <w:r>
        <w:rPr>
          <w:rFonts w:cs="AppleSystemUIFont"/>
          <w:color w:val="000000" w:themeColor="text1"/>
        </w:rPr>
        <w:t xml:space="preserve">nteproyecto en los términos que establece la Ley </w:t>
      </w:r>
      <w:r>
        <w:t>Orgánica del Poder Ejecutivo del Estado de Jalisco, y la Ley del Sistema Anticorrupción del Estado de Jalisco, que es la que aplica y está actualmente vigente</w:t>
      </w:r>
      <w:r w:rsidR="00A70B1C">
        <w:t xml:space="preserve">. Considera que la Ley es muy clara sobre la aprobación del </w:t>
      </w:r>
      <w:r w:rsidR="00C527C9">
        <w:t>a</w:t>
      </w:r>
      <w:r w:rsidR="00A70B1C">
        <w:t xml:space="preserve">nteproyecto, y confirma que no está establecido en el Estatuto Orgánico de la Secretaría Ejecutiva, sin </w:t>
      </w:r>
      <w:proofErr w:type="gramStart"/>
      <w:r w:rsidR="00A70B1C">
        <w:t>embargo</w:t>
      </w:r>
      <w:proofErr w:type="gramEnd"/>
      <w:r w:rsidR="00A70B1C">
        <w:t xml:space="preserve"> no se puede desatender lo que establece la </w:t>
      </w:r>
      <w:r w:rsidR="00A70B1C">
        <w:rPr>
          <w:rFonts w:cs="AppleSystemUIFont"/>
          <w:color w:val="000000" w:themeColor="text1"/>
        </w:rPr>
        <w:t xml:space="preserve">Ley </w:t>
      </w:r>
      <w:r w:rsidR="00A70B1C">
        <w:t xml:space="preserve">Orgánica del Poder Ejecutivo del Estado de Jalisco, </w:t>
      </w:r>
      <w:r w:rsidR="00041EF8">
        <w:t xml:space="preserve">y además su solicitud del año pasado. </w:t>
      </w:r>
    </w:p>
    <w:p w14:paraId="248734FA" w14:textId="72081749" w:rsidR="00041EF8" w:rsidRDefault="00041EF8" w:rsidP="00B0061F">
      <w:pPr>
        <w:contextualSpacing/>
        <w:jc w:val="both"/>
      </w:pPr>
    </w:p>
    <w:p w14:paraId="3B723BC3" w14:textId="6365D073" w:rsidR="00041EF8" w:rsidRDefault="00041EF8" w:rsidP="00B0061F">
      <w:pPr>
        <w:contextualSpacing/>
        <w:jc w:val="both"/>
      </w:pPr>
      <w:r>
        <w:t xml:space="preserve">La </w:t>
      </w:r>
      <w:proofErr w:type="gramStart"/>
      <w:r>
        <w:t>Presidenta</w:t>
      </w:r>
      <w:proofErr w:type="gramEnd"/>
      <w:r>
        <w:t xml:space="preserve"> del ITEI considera importante la reiteración de su solicitud, en cuanto a que se presente el </w:t>
      </w:r>
      <w:r w:rsidR="00C527C9">
        <w:t>a</w:t>
      </w:r>
      <w:r>
        <w:t>nteproyecto, como se realiza en diferentes instancias, cuando son colegiados, los órganos de gobierno aprueban los anteproyectos de presupuesto.</w:t>
      </w:r>
    </w:p>
    <w:p w14:paraId="4B4C8FEE" w14:textId="533A744D" w:rsidR="00A22DA5" w:rsidRDefault="00A22DA5" w:rsidP="00B0061F">
      <w:pPr>
        <w:contextualSpacing/>
        <w:jc w:val="both"/>
        <w:rPr>
          <w:rFonts w:cs="AppleSystemUIFont"/>
          <w:color w:val="000000" w:themeColor="text1"/>
        </w:rPr>
      </w:pPr>
    </w:p>
    <w:p w14:paraId="1507CFCB" w14:textId="77777777" w:rsidR="008F5A4B" w:rsidRDefault="00A22DA5" w:rsidP="44F2C78C">
      <w:pPr>
        <w:contextualSpacing/>
        <w:jc w:val="both"/>
        <w:rPr>
          <w:rFonts w:cs="AppleSystemUIFont"/>
          <w:color w:val="000000" w:themeColor="text1"/>
        </w:rPr>
      </w:pPr>
      <w:r w:rsidRPr="44F2C78C">
        <w:rPr>
          <w:rFonts w:cs="AppleSystemUIFont"/>
          <w:color w:val="000000" w:themeColor="text1"/>
        </w:rPr>
        <w:t>La Secretaria Técnica consulta la fecha en la se sugiere se realice la aprobación</w:t>
      </w:r>
      <w:r w:rsidR="004915BF" w:rsidRPr="44F2C78C">
        <w:rPr>
          <w:rFonts w:cs="AppleSystemUIFont"/>
          <w:color w:val="000000" w:themeColor="text1"/>
        </w:rPr>
        <w:t xml:space="preserve"> para que quede </w:t>
      </w:r>
      <w:r w:rsidR="00731113" w:rsidRPr="44F2C78C">
        <w:rPr>
          <w:rFonts w:cs="AppleSystemUIFont"/>
          <w:color w:val="000000" w:themeColor="text1"/>
        </w:rPr>
        <w:t>asentado</w:t>
      </w:r>
      <w:r w:rsidRPr="44F2C78C">
        <w:rPr>
          <w:rFonts w:cs="AppleSystemUIFont"/>
          <w:color w:val="000000" w:themeColor="text1"/>
        </w:rPr>
        <w:t>, ya que la única fecha certera que se tiene del proceso es la de la entrega</w:t>
      </w:r>
      <w:r w:rsidR="61B452B5" w:rsidRPr="44F2C78C">
        <w:rPr>
          <w:rFonts w:cs="AppleSystemUIFont"/>
          <w:color w:val="000000" w:themeColor="text1"/>
        </w:rPr>
        <w:t>,</w:t>
      </w:r>
      <w:r w:rsidRPr="44F2C78C">
        <w:rPr>
          <w:rFonts w:cs="AppleSystemUIFont"/>
          <w:color w:val="000000" w:themeColor="text1"/>
        </w:rPr>
        <w:t xml:space="preserve"> </w:t>
      </w:r>
      <w:r w:rsidR="001B0B16" w:rsidRPr="44F2C78C">
        <w:rPr>
          <w:rFonts w:cs="AppleSystemUIFont"/>
          <w:color w:val="000000" w:themeColor="text1"/>
        </w:rPr>
        <w:t>el 15 de agosto de cada año</w:t>
      </w:r>
      <w:r w:rsidR="00CE7000" w:rsidRPr="44F2C78C">
        <w:rPr>
          <w:rFonts w:cs="AppleSystemUIFont"/>
          <w:color w:val="000000" w:themeColor="text1"/>
        </w:rPr>
        <w:t xml:space="preserve">. </w:t>
      </w:r>
    </w:p>
    <w:p w14:paraId="1ACC49AC" w14:textId="77777777" w:rsidR="008F5A4B" w:rsidRDefault="008F5A4B" w:rsidP="44F2C78C">
      <w:pPr>
        <w:contextualSpacing/>
        <w:jc w:val="both"/>
        <w:rPr>
          <w:rFonts w:cs="AppleSystemUIFont"/>
          <w:color w:val="000000" w:themeColor="text1"/>
        </w:rPr>
      </w:pPr>
    </w:p>
    <w:p w14:paraId="6735B3EB" w14:textId="673E28DD" w:rsidR="00CC5407" w:rsidRDefault="00CE7000" w:rsidP="44F2C78C">
      <w:pPr>
        <w:contextualSpacing/>
        <w:jc w:val="both"/>
        <w:rPr>
          <w:rFonts w:cs="AppleSystemUIFont"/>
          <w:color w:val="000000" w:themeColor="text1"/>
        </w:rPr>
      </w:pPr>
      <w:r w:rsidRPr="44F2C78C">
        <w:rPr>
          <w:rFonts w:cs="AppleSystemUIFont"/>
          <w:color w:val="000000" w:themeColor="text1"/>
        </w:rPr>
        <w:t xml:space="preserve">El Presidente del Consejo de la Judicatura </w:t>
      </w:r>
      <w:r w:rsidR="00DD4D43" w:rsidRPr="44F2C78C">
        <w:rPr>
          <w:rFonts w:cs="AppleSystemUIFont"/>
          <w:color w:val="000000" w:themeColor="text1"/>
        </w:rPr>
        <w:t xml:space="preserve">responde que no se puede establecer una fecha, </w:t>
      </w:r>
      <w:r w:rsidR="0067271B" w:rsidRPr="44F2C78C">
        <w:rPr>
          <w:rFonts w:cs="AppleSystemUIFont"/>
          <w:color w:val="000000" w:themeColor="text1"/>
        </w:rPr>
        <w:t>y se suma a las participaciones de la Presidenta del ITEI, considerando que</w:t>
      </w:r>
      <w:r w:rsidR="00DC22C4" w:rsidRPr="44F2C78C">
        <w:rPr>
          <w:rFonts w:cs="AppleSystemUIFont"/>
          <w:color w:val="000000" w:themeColor="text1"/>
        </w:rPr>
        <w:t xml:space="preserve"> no existe inconveniente</w:t>
      </w:r>
      <w:r w:rsidR="0067271B" w:rsidRPr="44F2C78C">
        <w:rPr>
          <w:rFonts w:cs="AppleSystemUIFont"/>
          <w:color w:val="000000" w:themeColor="text1"/>
        </w:rPr>
        <w:t xml:space="preserve"> si se presenta como de conocimiento el </w:t>
      </w:r>
      <w:r w:rsidR="00C527C9">
        <w:rPr>
          <w:rFonts w:cs="AppleSystemUIFont"/>
          <w:color w:val="000000" w:themeColor="text1"/>
        </w:rPr>
        <w:t>a</w:t>
      </w:r>
      <w:r w:rsidR="0067271B" w:rsidRPr="44F2C78C">
        <w:rPr>
          <w:rFonts w:cs="AppleSystemUIFont"/>
          <w:color w:val="000000" w:themeColor="text1"/>
        </w:rPr>
        <w:t xml:space="preserve">nteproyecto de </w:t>
      </w:r>
      <w:r w:rsidR="00C527C9">
        <w:rPr>
          <w:rFonts w:cs="AppleSystemUIFont"/>
          <w:color w:val="000000" w:themeColor="text1"/>
        </w:rPr>
        <w:t>p</w:t>
      </w:r>
      <w:r w:rsidR="0067271B" w:rsidRPr="44F2C78C">
        <w:rPr>
          <w:rFonts w:cs="AppleSystemUIFont"/>
          <w:color w:val="000000" w:themeColor="text1"/>
        </w:rPr>
        <w:t xml:space="preserve">resupuesto </w:t>
      </w:r>
      <w:r w:rsidR="008508FE" w:rsidRPr="44F2C78C">
        <w:rPr>
          <w:rFonts w:cs="AppleSystemUIFont"/>
          <w:color w:val="000000" w:themeColor="text1"/>
        </w:rPr>
        <w:t>20</w:t>
      </w:r>
      <w:r w:rsidR="00F347B1">
        <w:rPr>
          <w:rFonts w:cs="AppleSystemUIFont"/>
          <w:color w:val="000000" w:themeColor="text1"/>
        </w:rPr>
        <w:t>20</w:t>
      </w:r>
      <w:r w:rsidR="008508FE" w:rsidRPr="44F2C78C">
        <w:rPr>
          <w:rFonts w:cs="AppleSystemUIFont"/>
          <w:color w:val="000000" w:themeColor="text1"/>
        </w:rPr>
        <w:t xml:space="preserve">, sin embargo menciona que no se puede votar un proyecto que ya se presentó, por lo que reitera que </w:t>
      </w:r>
      <w:r w:rsidR="00EC1C45" w:rsidRPr="44F2C78C">
        <w:rPr>
          <w:rFonts w:cs="AppleSystemUIFont"/>
          <w:color w:val="000000" w:themeColor="text1"/>
        </w:rPr>
        <w:t>coincide con la Presidenta del ITEI con respecto a que</w:t>
      </w:r>
      <w:r w:rsidR="00210E9A" w:rsidRPr="44F2C78C">
        <w:rPr>
          <w:rFonts w:cs="AppleSystemUIFont"/>
          <w:color w:val="000000" w:themeColor="text1"/>
        </w:rPr>
        <w:t>,</w:t>
      </w:r>
      <w:r w:rsidR="00EC1C45" w:rsidRPr="44F2C78C">
        <w:rPr>
          <w:rFonts w:cs="AppleSystemUIFont"/>
          <w:color w:val="000000" w:themeColor="text1"/>
        </w:rPr>
        <w:t xml:space="preserve"> </w:t>
      </w:r>
      <w:r w:rsidR="008F5A4B">
        <w:rPr>
          <w:rFonts w:cs="AppleSystemUIFont"/>
          <w:color w:val="000000" w:themeColor="text1"/>
        </w:rPr>
        <w:t xml:space="preserve">en los siguientes ejercicios presupuestarios, se presente ante este órgano colegiado, para que se apruebe y posterior a ello, se presente. Considera que no se puede establecer la fecha, ya que se deben considerar todos los pormenores que se puedan adicionar, sin </w:t>
      </w:r>
      <w:proofErr w:type="gramStart"/>
      <w:r w:rsidR="008F5A4B">
        <w:rPr>
          <w:rFonts w:cs="AppleSystemUIFont"/>
          <w:color w:val="000000" w:themeColor="text1"/>
        </w:rPr>
        <w:t>embargo</w:t>
      </w:r>
      <w:proofErr w:type="gramEnd"/>
      <w:r w:rsidR="008F5A4B">
        <w:rPr>
          <w:rFonts w:cs="AppleSystemUIFont"/>
          <w:color w:val="000000" w:themeColor="text1"/>
        </w:rPr>
        <w:t xml:space="preserve"> se cuenta con un plazo fatal. </w:t>
      </w:r>
      <w:r w:rsidR="008F5A4B">
        <w:rPr>
          <w:rFonts w:cs="AppleSystemUIFont"/>
          <w:color w:val="000000" w:themeColor="text1"/>
        </w:rPr>
        <w:lastRenderedPageBreak/>
        <w:t xml:space="preserve">Comenta que en el caso del Consejo de la Judicatura </w:t>
      </w:r>
      <w:r w:rsidR="00DE6E14">
        <w:rPr>
          <w:rFonts w:cs="AppleSystemUIFont"/>
          <w:color w:val="000000" w:themeColor="text1"/>
        </w:rPr>
        <w:t xml:space="preserve">se realizó la sesión el 14 de agosto, para presentar un </w:t>
      </w:r>
      <w:r w:rsidR="00212F04">
        <w:rPr>
          <w:rFonts w:cs="AppleSystemUIFont"/>
          <w:color w:val="000000" w:themeColor="text1"/>
        </w:rPr>
        <w:t>a</w:t>
      </w:r>
      <w:r w:rsidR="00DE6E14">
        <w:rPr>
          <w:rFonts w:cs="AppleSystemUIFont"/>
          <w:color w:val="000000" w:themeColor="text1"/>
        </w:rPr>
        <w:t xml:space="preserve">nteproyecto de </w:t>
      </w:r>
      <w:r w:rsidR="00212F04">
        <w:rPr>
          <w:rFonts w:cs="AppleSystemUIFont"/>
          <w:color w:val="000000" w:themeColor="text1"/>
        </w:rPr>
        <w:t>P</w:t>
      </w:r>
      <w:r w:rsidR="00DE6E14">
        <w:rPr>
          <w:rFonts w:cs="AppleSystemUIFont"/>
          <w:color w:val="000000" w:themeColor="text1"/>
        </w:rPr>
        <w:t xml:space="preserve">resupuesto aprobado por todos los miembros. </w:t>
      </w:r>
    </w:p>
    <w:p w14:paraId="2F49A177" w14:textId="36C40CC0" w:rsidR="00DE6E14" w:rsidRDefault="00DE6E14" w:rsidP="44F2C78C">
      <w:pPr>
        <w:contextualSpacing/>
        <w:jc w:val="both"/>
        <w:rPr>
          <w:rFonts w:cs="AppleSystemUIFont"/>
          <w:color w:val="000000" w:themeColor="text1"/>
        </w:rPr>
      </w:pPr>
    </w:p>
    <w:p w14:paraId="1A29F646" w14:textId="414C9571" w:rsidR="00DE6E14" w:rsidRDefault="00DE6E14" w:rsidP="44F2C78C">
      <w:pPr>
        <w:contextualSpacing/>
        <w:jc w:val="both"/>
        <w:rPr>
          <w:rFonts w:cs="AppleSystemUIFont"/>
          <w:color w:val="000000" w:themeColor="text1"/>
        </w:rPr>
      </w:pPr>
      <w:r>
        <w:rPr>
          <w:rFonts w:cs="AppleSystemUIFont"/>
          <w:color w:val="000000" w:themeColor="text1"/>
        </w:rPr>
        <w:t xml:space="preserve">El </w:t>
      </w:r>
      <w:proofErr w:type="gramStart"/>
      <w:r>
        <w:rPr>
          <w:rFonts w:cs="AppleSystemUIFont"/>
          <w:color w:val="000000" w:themeColor="text1"/>
        </w:rPr>
        <w:t>Presidente</w:t>
      </w:r>
      <w:proofErr w:type="gramEnd"/>
      <w:r>
        <w:rPr>
          <w:rFonts w:cs="AppleSystemUIFont"/>
          <w:color w:val="000000" w:themeColor="text1"/>
        </w:rPr>
        <w:t xml:space="preserve"> del TJA se suma a lo requerido por la Presidenta del ITEI y el Presidente del Consejo de la Judicatura, menciona que en su caso, cuentan con una junta de administración, y que en este caso debe ser el Órgano de Gobierno quien apruebe </w:t>
      </w:r>
      <w:r w:rsidR="005E61FE">
        <w:rPr>
          <w:rFonts w:cs="AppleSystemUIFont"/>
          <w:color w:val="000000" w:themeColor="text1"/>
        </w:rPr>
        <w:t xml:space="preserve">antes de mandarlo. Considera que, igualmente si se presenta en esta ocasión únicamente para conocimiento, no hay problema, sin </w:t>
      </w:r>
      <w:proofErr w:type="gramStart"/>
      <w:r w:rsidR="005E61FE">
        <w:rPr>
          <w:rFonts w:cs="AppleSystemUIFont"/>
          <w:color w:val="000000" w:themeColor="text1"/>
        </w:rPr>
        <w:t>embargo</w:t>
      </w:r>
      <w:proofErr w:type="gramEnd"/>
      <w:r w:rsidR="005E61FE">
        <w:rPr>
          <w:rFonts w:cs="AppleSystemUIFont"/>
          <w:color w:val="000000" w:themeColor="text1"/>
        </w:rPr>
        <w:t xml:space="preserve"> con base en los argumentos que mencionó la Presidenta del ITEI, considera que sí correspondía aprobar dicho documento y que se enviara con la </w:t>
      </w:r>
      <w:proofErr w:type="spellStart"/>
      <w:r w:rsidR="005E61FE">
        <w:rPr>
          <w:rFonts w:cs="AppleSystemUIFont"/>
          <w:color w:val="000000" w:themeColor="text1"/>
        </w:rPr>
        <w:t>rubrica</w:t>
      </w:r>
      <w:proofErr w:type="spellEnd"/>
      <w:r w:rsidR="005E61FE">
        <w:rPr>
          <w:rFonts w:cs="AppleSystemUIFont"/>
          <w:color w:val="000000" w:themeColor="text1"/>
        </w:rPr>
        <w:t xml:space="preserve"> de todos los integrantes. Coincide con la solicitud de que se debe sesionar y aprobar en </w:t>
      </w:r>
      <w:r w:rsidR="00212F04">
        <w:rPr>
          <w:rFonts w:cs="AppleSystemUIFont"/>
          <w:color w:val="000000" w:themeColor="text1"/>
        </w:rPr>
        <w:t>a</w:t>
      </w:r>
      <w:r w:rsidR="005E61FE">
        <w:rPr>
          <w:rFonts w:cs="AppleSystemUIFont"/>
          <w:color w:val="000000" w:themeColor="text1"/>
        </w:rPr>
        <w:t xml:space="preserve">nteproyecto de </w:t>
      </w:r>
      <w:r w:rsidR="00212F04">
        <w:rPr>
          <w:rFonts w:cs="AppleSystemUIFont"/>
          <w:color w:val="000000" w:themeColor="text1"/>
        </w:rPr>
        <w:t>p</w:t>
      </w:r>
      <w:r w:rsidR="005E61FE">
        <w:rPr>
          <w:rFonts w:cs="AppleSystemUIFont"/>
          <w:color w:val="000000" w:themeColor="text1"/>
        </w:rPr>
        <w:t xml:space="preserve">resupuesto antes de enviarlo, con independencia de que sea aprobado o no. </w:t>
      </w:r>
    </w:p>
    <w:p w14:paraId="243485C2" w14:textId="77777777" w:rsidR="00CC5407" w:rsidRDefault="00CC5407" w:rsidP="00CE7000">
      <w:pPr>
        <w:contextualSpacing/>
        <w:jc w:val="both"/>
        <w:rPr>
          <w:rFonts w:cs="AppleSystemUIFont"/>
          <w:color w:val="000000" w:themeColor="text1"/>
        </w:rPr>
      </w:pPr>
    </w:p>
    <w:p w14:paraId="5E13BE35" w14:textId="0E423488" w:rsidR="007E5323" w:rsidRDefault="00AE4C4E" w:rsidP="44F2C78C">
      <w:pPr>
        <w:contextualSpacing/>
        <w:jc w:val="both"/>
        <w:rPr>
          <w:rFonts w:cs="AppleSystemUIFont"/>
          <w:color w:val="000000" w:themeColor="text1"/>
        </w:rPr>
      </w:pPr>
      <w:r w:rsidRPr="44F2C78C">
        <w:rPr>
          <w:rFonts w:cs="AppleSystemUIFont"/>
          <w:color w:val="000000" w:themeColor="text1"/>
        </w:rPr>
        <w:t xml:space="preserve">El </w:t>
      </w:r>
      <w:proofErr w:type="gramStart"/>
      <w:r w:rsidRPr="44F2C78C">
        <w:rPr>
          <w:rFonts w:cs="AppleSystemUIFont"/>
          <w:color w:val="000000" w:themeColor="text1"/>
        </w:rPr>
        <w:t>Presidente</w:t>
      </w:r>
      <w:proofErr w:type="gramEnd"/>
      <w:r w:rsidRPr="44F2C78C">
        <w:rPr>
          <w:rFonts w:cs="AppleSystemUIFont"/>
          <w:color w:val="000000" w:themeColor="text1"/>
        </w:rPr>
        <w:t xml:space="preserve"> del Órgano de Gobierno </w:t>
      </w:r>
      <w:r w:rsidR="00E6367C" w:rsidRPr="44F2C78C">
        <w:rPr>
          <w:rFonts w:cs="AppleSystemUIFont"/>
          <w:color w:val="000000" w:themeColor="text1"/>
        </w:rPr>
        <w:t xml:space="preserve">recapitula los </w:t>
      </w:r>
      <w:r w:rsidR="3A1207AB" w:rsidRPr="44F2C78C">
        <w:rPr>
          <w:rFonts w:cs="AppleSystemUIFont"/>
          <w:color w:val="000000" w:themeColor="text1"/>
        </w:rPr>
        <w:t>a</w:t>
      </w:r>
      <w:r w:rsidR="00E6367C" w:rsidRPr="44F2C78C">
        <w:rPr>
          <w:rFonts w:cs="AppleSystemUIFont"/>
          <w:color w:val="000000" w:themeColor="text1"/>
        </w:rPr>
        <w:t xml:space="preserve">cuerdos: </w:t>
      </w:r>
    </w:p>
    <w:p w14:paraId="5BAEAC13" w14:textId="570C4EF6" w:rsidR="00E6367C" w:rsidRDefault="00E6367C" w:rsidP="00CE7000">
      <w:pPr>
        <w:contextualSpacing/>
        <w:jc w:val="both"/>
        <w:rPr>
          <w:rFonts w:cs="AppleSystemUIFont"/>
          <w:color w:val="000000" w:themeColor="text1"/>
        </w:rPr>
      </w:pPr>
    </w:p>
    <w:p w14:paraId="0E3E0917" w14:textId="0BE4CE3B" w:rsidR="00E6367C" w:rsidRDefault="00E6367C" w:rsidP="44F2C78C">
      <w:pPr>
        <w:contextualSpacing/>
        <w:jc w:val="both"/>
        <w:rPr>
          <w:rFonts w:cs="AppleSystemUIFont"/>
          <w:color w:val="000000" w:themeColor="text1"/>
        </w:rPr>
      </w:pPr>
      <w:r w:rsidRPr="44F2C78C">
        <w:rPr>
          <w:rFonts w:cs="AppleSystemUIFont"/>
          <w:color w:val="000000" w:themeColor="text1"/>
        </w:rPr>
        <w:t>Se toma conocimiento del Anteproy</w:t>
      </w:r>
      <w:r w:rsidR="004415D4" w:rsidRPr="44F2C78C">
        <w:rPr>
          <w:rFonts w:cs="AppleSystemUIFont"/>
          <w:color w:val="000000" w:themeColor="text1"/>
        </w:rPr>
        <w:t xml:space="preserve">ecto de Presupuesto 2020 de la Secretaría Ejecutiva del Sistema Estatal Anticorrupción. </w:t>
      </w:r>
    </w:p>
    <w:p w14:paraId="2A1614E7" w14:textId="2C2CAAAD" w:rsidR="004415D4" w:rsidRDefault="004415D4" w:rsidP="00CE7000">
      <w:pPr>
        <w:contextualSpacing/>
        <w:jc w:val="both"/>
        <w:rPr>
          <w:rFonts w:cs="AppleSystemUIFont"/>
          <w:color w:val="000000" w:themeColor="text1"/>
        </w:rPr>
      </w:pPr>
    </w:p>
    <w:p w14:paraId="489C70A2" w14:textId="06525BF3" w:rsidR="004415D4" w:rsidRDefault="004415D4" w:rsidP="44F2C78C">
      <w:pPr>
        <w:contextualSpacing/>
        <w:jc w:val="both"/>
        <w:rPr>
          <w:rFonts w:cs="AppleSystemUIFont"/>
          <w:color w:val="000000" w:themeColor="text1"/>
        </w:rPr>
      </w:pPr>
      <w:r w:rsidRPr="44F2C78C">
        <w:rPr>
          <w:rFonts w:cs="AppleSystemUIFont"/>
          <w:color w:val="000000" w:themeColor="text1"/>
        </w:rPr>
        <w:t xml:space="preserve">Se solicita a la Secretaria Técnica </w:t>
      </w:r>
      <w:r w:rsidR="00EA40A1" w:rsidRPr="44F2C78C">
        <w:rPr>
          <w:rFonts w:cs="AppleSystemUIFont"/>
          <w:color w:val="000000" w:themeColor="text1"/>
        </w:rPr>
        <w:t xml:space="preserve">someta a aprobación del Órgano de Gobierno, a partir de los siguientes ejercicios presupuestarios, el Anteproyecto de Presupuesto, </w:t>
      </w:r>
      <w:r w:rsidR="001536E8" w:rsidRPr="44F2C78C">
        <w:rPr>
          <w:rFonts w:cs="AppleSystemUIFont"/>
          <w:color w:val="000000" w:themeColor="text1"/>
        </w:rPr>
        <w:t xml:space="preserve">previo a la entrega a la Secretaría de la Hacienda Pública. </w:t>
      </w:r>
    </w:p>
    <w:p w14:paraId="3E466C32" w14:textId="77777777" w:rsidR="007E5323" w:rsidRDefault="007E5323" w:rsidP="00CE7000">
      <w:pPr>
        <w:contextualSpacing/>
        <w:jc w:val="both"/>
        <w:rPr>
          <w:rFonts w:cs="AppleSystemUIFont"/>
          <w:color w:val="000000" w:themeColor="text1"/>
        </w:rPr>
      </w:pPr>
    </w:p>
    <w:p w14:paraId="7876AF53" w14:textId="208A0B2D" w:rsidR="001B0B16" w:rsidRDefault="001A1D8C" w:rsidP="00B0061F">
      <w:pPr>
        <w:contextualSpacing/>
        <w:jc w:val="both"/>
        <w:rPr>
          <w:rFonts w:cs="AppleSystemUIFont"/>
          <w:color w:val="000000" w:themeColor="text1"/>
        </w:rPr>
      </w:pPr>
      <w:r>
        <w:rPr>
          <w:rFonts w:cs="AppleSystemUIFont"/>
          <w:color w:val="000000" w:themeColor="text1"/>
        </w:rPr>
        <w:t xml:space="preserve">A lo anterior todos los integrantes del Órgano de Gobierno se manifiestan a favor. La Secretaria Técnica toma nota. </w:t>
      </w:r>
    </w:p>
    <w:p w14:paraId="7F8B6987" w14:textId="77777777" w:rsidR="001B0B16" w:rsidRPr="00B0061F" w:rsidRDefault="001B0B16" w:rsidP="00B0061F">
      <w:pPr>
        <w:contextualSpacing/>
        <w:jc w:val="both"/>
        <w:rPr>
          <w:b/>
          <w:bCs/>
        </w:rPr>
      </w:pPr>
    </w:p>
    <w:p w14:paraId="34D53524" w14:textId="42A6C41D" w:rsidR="00E27360" w:rsidRDefault="00C759BA" w:rsidP="44F2C78C">
      <w:pPr>
        <w:pStyle w:val="Prrafodelista"/>
        <w:numPr>
          <w:ilvl w:val="0"/>
          <w:numId w:val="1"/>
        </w:numPr>
        <w:spacing w:line="240" w:lineRule="auto"/>
        <w:jc w:val="both"/>
        <w:rPr>
          <w:b/>
          <w:bCs/>
        </w:rPr>
      </w:pPr>
      <w:r w:rsidRPr="44F2C78C">
        <w:rPr>
          <w:b/>
          <w:bCs/>
        </w:rPr>
        <w:t xml:space="preserve">Asuntos </w:t>
      </w:r>
      <w:r w:rsidR="72B7875A" w:rsidRPr="44F2C78C">
        <w:rPr>
          <w:b/>
          <w:bCs/>
        </w:rPr>
        <w:t>g</w:t>
      </w:r>
      <w:r w:rsidRPr="44F2C78C">
        <w:rPr>
          <w:b/>
          <w:bCs/>
        </w:rPr>
        <w:t>enerales</w:t>
      </w:r>
    </w:p>
    <w:p w14:paraId="23F9771A" w14:textId="770F2570" w:rsidR="00C759BA" w:rsidRPr="00D66D93" w:rsidRDefault="00D66D93" w:rsidP="00C759BA">
      <w:pPr>
        <w:spacing w:line="240" w:lineRule="auto"/>
        <w:jc w:val="both"/>
        <w:rPr>
          <w:bCs/>
        </w:rPr>
      </w:pPr>
      <w:r>
        <w:t xml:space="preserve">El </w:t>
      </w:r>
      <w:proofErr w:type="gramStart"/>
      <w:r>
        <w:t>Presidente</w:t>
      </w:r>
      <w:proofErr w:type="gramEnd"/>
      <w:r>
        <w:t xml:space="preserve"> del Órgano de Gobierno consulta si existe algún asunto por desahogar</w:t>
      </w:r>
      <w:r w:rsidR="1245D212">
        <w:t>;</w:t>
      </w:r>
      <w:r>
        <w:t xml:space="preserve"> al no haberlos</w:t>
      </w:r>
      <w:r w:rsidR="293C7445">
        <w:t>,</w:t>
      </w:r>
      <w:r>
        <w:t xml:space="preserve"> se contin</w:t>
      </w:r>
      <w:r w:rsidR="10C6FE88">
        <w:t>úa</w:t>
      </w:r>
      <w:r>
        <w:t xml:space="preserve"> con el siguiente punto. </w:t>
      </w:r>
    </w:p>
    <w:p w14:paraId="4B05301D" w14:textId="77777777" w:rsidR="00D643D7" w:rsidRDefault="00D643D7" w:rsidP="00B556AD">
      <w:pPr>
        <w:pStyle w:val="Prrafodelista"/>
        <w:numPr>
          <w:ilvl w:val="0"/>
          <w:numId w:val="1"/>
        </w:numPr>
        <w:spacing w:line="240" w:lineRule="auto"/>
        <w:jc w:val="both"/>
        <w:rPr>
          <w:b/>
          <w:bCs/>
          <w:lang w:val="es-ES"/>
        </w:rPr>
      </w:pPr>
      <w:r w:rsidRPr="00D643D7">
        <w:rPr>
          <w:b/>
          <w:bCs/>
          <w:lang w:val="es-ES"/>
        </w:rPr>
        <w:t>Acuerdos</w:t>
      </w:r>
    </w:p>
    <w:p w14:paraId="2113B40F" w14:textId="29D3942B" w:rsidR="003F71E2" w:rsidRPr="003F71E2" w:rsidRDefault="003F71E2" w:rsidP="00D643D7">
      <w:pPr>
        <w:spacing w:line="240" w:lineRule="auto"/>
        <w:jc w:val="both"/>
        <w:rPr>
          <w:lang w:val="es-ES"/>
        </w:rPr>
      </w:pPr>
      <w:r w:rsidRPr="003F71E2">
        <w:rPr>
          <w:lang w:val="es-ES"/>
        </w:rPr>
        <w:t xml:space="preserve">El Órgano de Gobierno en su </w:t>
      </w:r>
      <w:r w:rsidR="00D66D93">
        <w:rPr>
          <w:lang w:val="es-ES"/>
        </w:rPr>
        <w:t>Tercera</w:t>
      </w:r>
      <w:r w:rsidRPr="003F71E2">
        <w:rPr>
          <w:lang w:val="es-ES"/>
        </w:rPr>
        <w:t xml:space="preserve"> Sesión Ordinaria del 2019 </w:t>
      </w:r>
      <w:r w:rsidR="00E26108">
        <w:rPr>
          <w:lang w:val="es-ES"/>
        </w:rPr>
        <w:t>dicta</w:t>
      </w:r>
      <w:r w:rsidRPr="003F71E2">
        <w:rPr>
          <w:lang w:val="es-ES"/>
        </w:rPr>
        <w:t xml:space="preserve"> l</w:t>
      </w:r>
      <w:r w:rsidR="00E26108">
        <w:rPr>
          <w:lang w:val="es-ES"/>
        </w:rPr>
        <w:t>os</w:t>
      </w:r>
      <w:r w:rsidRPr="003F71E2">
        <w:rPr>
          <w:lang w:val="es-ES"/>
        </w:rPr>
        <w:t xml:space="preserve"> siguiente</w:t>
      </w:r>
      <w:r w:rsidR="00E26108">
        <w:rPr>
          <w:lang w:val="es-ES"/>
        </w:rPr>
        <w:t>s acuerdos</w:t>
      </w:r>
      <w:r w:rsidRPr="003F71E2">
        <w:rPr>
          <w:lang w:val="es-ES"/>
        </w:rPr>
        <w:t xml:space="preserve">: </w:t>
      </w:r>
    </w:p>
    <w:p w14:paraId="0BEF7008" w14:textId="15EF8BD6" w:rsidR="00D643D7" w:rsidRDefault="003F71E2" w:rsidP="003F71E2">
      <w:pPr>
        <w:spacing w:line="240" w:lineRule="auto"/>
        <w:contextualSpacing/>
        <w:jc w:val="both"/>
        <w:rPr>
          <w:b/>
          <w:bCs/>
          <w:lang w:val="es-ES"/>
        </w:rPr>
      </w:pPr>
      <w:r>
        <w:rPr>
          <w:b/>
          <w:bCs/>
          <w:lang w:val="es-ES"/>
        </w:rPr>
        <w:t>A.</w:t>
      </w:r>
      <w:r w:rsidR="001D2783">
        <w:rPr>
          <w:b/>
          <w:bCs/>
          <w:lang w:val="es-ES"/>
        </w:rPr>
        <w:t>OG</w:t>
      </w:r>
      <w:r>
        <w:rPr>
          <w:b/>
          <w:bCs/>
          <w:lang w:val="es-ES"/>
        </w:rPr>
        <w:t>.2019.</w:t>
      </w:r>
      <w:r w:rsidR="0054694A">
        <w:rPr>
          <w:b/>
          <w:bCs/>
          <w:lang w:val="es-ES"/>
        </w:rPr>
        <w:t>2</w:t>
      </w:r>
      <w:r>
        <w:rPr>
          <w:b/>
          <w:bCs/>
          <w:lang w:val="es-ES"/>
        </w:rPr>
        <w:t>7</w:t>
      </w:r>
    </w:p>
    <w:p w14:paraId="452AD55C" w14:textId="47AC2DDE" w:rsidR="00EF4660" w:rsidRDefault="00EF4660" w:rsidP="44F2C78C">
      <w:pPr>
        <w:spacing w:line="240" w:lineRule="auto"/>
        <w:contextualSpacing/>
        <w:jc w:val="both"/>
        <w:rPr>
          <w:rFonts w:cs="AppleSystemUIFont"/>
          <w:color w:val="000000" w:themeColor="text1"/>
        </w:rPr>
      </w:pPr>
      <w:r w:rsidRPr="44F2C78C">
        <w:rPr>
          <w:rFonts w:cs="AppleSystemUIFont"/>
          <w:color w:val="000000" w:themeColor="text1"/>
        </w:rPr>
        <w:t>No se aprueban las modificaciones del Estatuto Orgánico de la Secretaria Ejecutiva, propuesta</w:t>
      </w:r>
      <w:r w:rsidR="47E879E4" w:rsidRPr="44F2C78C">
        <w:rPr>
          <w:rFonts w:cs="AppleSystemUIFont"/>
          <w:color w:val="000000" w:themeColor="text1"/>
        </w:rPr>
        <w:t>s</w:t>
      </w:r>
      <w:r w:rsidRPr="44F2C78C">
        <w:rPr>
          <w:rFonts w:cs="AppleSystemUIFont"/>
          <w:color w:val="000000" w:themeColor="text1"/>
        </w:rPr>
        <w:t xml:space="preserve"> por la Secretaria Técnica, y que contiene a la vez las propuestas de </w:t>
      </w:r>
      <w:r w:rsidRPr="44F2C78C">
        <w:rPr>
          <w:rFonts w:cs="AppleSystemUIFont"/>
          <w:color w:val="000000" w:themeColor="text1"/>
        </w:rPr>
        <w:lastRenderedPageBreak/>
        <w:t>reformas presentadas a este Órgano de Gobierno</w:t>
      </w:r>
      <w:r w:rsidR="4DFC729B" w:rsidRPr="44F2C78C">
        <w:rPr>
          <w:rFonts w:cs="AppleSystemUIFont"/>
          <w:color w:val="000000" w:themeColor="text1"/>
        </w:rPr>
        <w:t xml:space="preserve"> </w:t>
      </w:r>
      <w:r w:rsidRPr="44F2C78C">
        <w:rPr>
          <w:rFonts w:cs="AppleSystemUIFont"/>
          <w:color w:val="000000" w:themeColor="text1"/>
        </w:rPr>
        <w:t>por el Titular del Órgano Interno de Control, en la Sesión Ordinaria del 4 de junio.</w:t>
      </w:r>
    </w:p>
    <w:p w14:paraId="1CC9FA58" w14:textId="77777777" w:rsidR="009352F1" w:rsidRDefault="009352F1" w:rsidP="003F71E2">
      <w:pPr>
        <w:spacing w:line="240" w:lineRule="auto"/>
        <w:contextualSpacing/>
        <w:jc w:val="both"/>
        <w:rPr>
          <w:b/>
          <w:bCs/>
          <w:lang w:val="es-ES"/>
        </w:rPr>
      </w:pPr>
    </w:p>
    <w:p w14:paraId="1FF70A28" w14:textId="1E617B75" w:rsidR="003F71E2" w:rsidRDefault="003F71E2" w:rsidP="003F71E2">
      <w:pPr>
        <w:spacing w:line="240" w:lineRule="auto"/>
        <w:contextualSpacing/>
        <w:jc w:val="both"/>
        <w:rPr>
          <w:b/>
          <w:bCs/>
          <w:lang w:val="es-ES"/>
        </w:rPr>
      </w:pPr>
      <w:r>
        <w:rPr>
          <w:b/>
          <w:bCs/>
          <w:lang w:val="es-ES"/>
        </w:rPr>
        <w:t>A.</w:t>
      </w:r>
      <w:r w:rsidR="008B5A2F">
        <w:rPr>
          <w:b/>
          <w:bCs/>
          <w:lang w:val="es-ES"/>
        </w:rPr>
        <w:t>OG</w:t>
      </w:r>
      <w:r>
        <w:rPr>
          <w:b/>
          <w:bCs/>
          <w:lang w:val="es-ES"/>
        </w:rPr>
        <w:t>.2019.</w:t>
      </w:r>
      <w:r w:rsidR="004D2068">
        <w:rPr>
          <w:b/>
          <w:bCs/>
          <w:lang w:val="es-ES"/>
        </w:rPr>
        <w:t>2</w:t>
      </w:r>
      <w:r>
        <w:rPr>
          <w:b/>
          <w:bCs/>
          <w:lang w:val="es-ES"/>
        </w:rPr>
        <w:t>8</w:t>
      </w:r>
    </w:p>
    <w:p w14:paraId="0D9FEA55" w14:textId="567DBDCE" w:rsidR="004D2068" w:rsidRDefault="00921E0A" w:rsidP="003F71E2">
      <w:pPr>
        <w:spacing w:line="240" w:lineRule="auto"/>
        <w:contextualSpacing/>
        <w:jc w:val="both"/>
        <w:rPr>
          <w:rFonts w:cs="AppleSystemUIFont"/>
          <w:color w:val="000000" w:themeColor="text1"/>
        </w:rPr>
      </w:pPr>
      <w:r w:rsidRPr="00921E0A">
        <w:rPr>
          <w:rFonts w:cs="AppleSystemUIFont"/>
          <w:color w:val="000000" w:themeColor="text1"/>
        </w:rPr>
        <w:t>Se aprueba en lo general el “Plan Institucional 2018-2022 de la Secretaría Ejecutiva del Sistema Estatal Anticorrupción de Jalisco”, presentado por la Secretaria Técnica.</w:t>
      </w:r>
    </w:p>
    <w:p w14:paraId="30E77DC6" w14:textId="77777777" w:rsidR="00921E0A" w:rsidRDefault="00921E0A" w:rsidP="003F71E2">
      <w:pPr>
        <w:spacing w:line="240" w:lineRule="auto"/>
        <w:contextualSpacing/>
        <w:jc w:val="both"/>
      </w:pPr>
    </w:p>
    <w:p w14:paraId="67B43D22" w14:textId="7F10CE8D" w:rsidR="003E5B45" w:rsidRPr="003E5B45" w:rsidRDefault="003F71E2" w:rsidP="003E5B45">
      <w:pPr>
        <w:spacing w:line="240" w:lineRule="auto"/>
        <w:contextualSpacing/>
        <w:jc w:val="both"/>
        <w:rPr>
          <w:b/>
          <w:bCs/>
          <w:lang w:val="es-ES"/>
        </w:rPr>
      </w:pPr>
      <w:r>
        <w:rPr>
          <w:b/>
          <w:bCs/>
          <w:lang w:val="es-ES"/>
        </w:rPr>
        <w:t>A.</w:t>
      </w:r>
      <w:r w:rsidR="008B5A2F">
        <w:rPr>
          <w:b/>
          <w:bCs/>
          <w:lang w:val="es-ES"/>
        </w:rPr>
        <w:t>OG</w:t>
      </w:r>
      <w:r>
        <w:rPr>
          <w:b/>
          <w:bCs/>
          <w:lang w:val="es-ES"/>
        </w:rPr>
        <w:t>.2019.</w:t>
      </w:r>
      <w:r w:rsidR="003E5B45">
        <w:rPr>
          <w:b/>
          <w:bCs/>
          <w:lang w:val="es-ES"/>
        </w:rPr>
        <w:t>2</w:t>
      </w:r>
      <w:r>
        <w:rPr>
          <w:b/>
          <w:bCs/>
          <w:lang w:val="es-ES"/>
        </w:rPr>
        <w:t>9</w:t>
      </w:r>
    </w:p>
    <w:p w14:paraId="1ACBF1F2" w14:textId="1CFE33D0" w:rsidR="004D1CC2" w:rsidRDefault="00BC4562" w:rsidP="003E5B45">
      <w:pPr>
        <w:spacing w:line="240" w:lineRule="auto"/>
        <w:contextualSpacing/>
        <w:jc w:val="both"/>
        <w:rPr>
          <w:rFonts w:cs="AppleSystemUIFont"/>
          <w:color w:val="000000" w:themeColor="text1"/>
        </w:rPr>
      </w:pPr>
      <w:r w:rsidRPr="00BC4562">
        <w:rPr>
          <w:rFonts w:cs="AppleSystemUIFont"/>
          <w:color w:val="000000" w:themeColor="text1"/>
        </w:rPr>
        <w:t>Se le tiene por presentado y se aprueba el Informe de actividades de la Secretaría Ejecutiva, correspondiente al periodo de abril a junio de 2019.</w:t>
      </w:r>
    </w:p>
    <w:p w14:paraId="5F1666A3" w14:textId="77777777" w:rsidR="00BC4562" w:rsidRDefault="00BC4562" w:rsidP="003E5B45">
      <w:pPr>
        <w:spacing w:line="240" w:lineRule="auto"/>
        <w:contextualSpacing/>
        <w:jc w:val="both"/>
      </w:pPr>
    </w:p>
    <w:p w14:paraId="3D2811A9" w14:textId="46C901C9" w:rsidR="003F71E2" w:rsidRPr="003F71E2" w:rsidRDefault="003F71E2" w:rsidP="003F71E2">
      <w:pPr>
        <w:spacing w:line="240" w:lineRule="auto"/>
        <w:contextualSpacing/>
        <w:jc w:val="both"/>
        <w:rPr>
          <w:b/>
          <w:bCs/>
          <w:lang w:val="es-ES"/>
        </w:rPr>
      </w:pPr>
      <w:r>
        <w:rPr>
          <w:b/>
          <w:bCs/>
          <w:lang w:val="es-ES"/>
        </w:rPr>
        <w:t>A.</w:t>
      </w:r>
      <w:r w:rsidR="008B5A2F">
        <w:rPr>
          <w:b/>
          <w:bCs/>
          <w:lang w:val="es-ES"/>
        </w:rPr>
        <w:t>OG</w:t>
      </w:r>
      <w:r>
        <w:rPr>
          <w:b/>
          <w:bCs/>
          <w:lang w:val="es-ES"/>
        </w:rPr>
        <w:t>.2019.</w:t>
      </w:r>
      <w:r w:rsidR="004D1CC2">
        <w:rPr>
          <w:b/>
          <w:bCs/>
          <w:lang w:val="es-ES"/>
        </w:rPr>
        <w:t>30</w:t>
      </w:r>
    </w:p>
    <w:p w14:paraId="6BD253E3" w14:textId="0E61E122" w:rsidR="003F71E2" w:rsidRDefault="00BC4562" w:rsidP="003F71E2">
      <w:pPr>
        <w:spacing w:line="240" w:lineRule="auto"/>
        <w:contextualSpacing/>
        <w:jc w:val="both"/>
        <w:rPr>
          <w:rFonts w:cs="AppleSystemUIFont"/>
          <w:color w:val="000000" w:themeColor="text1"/>
        </w:rPr>
      </w:pPr>
      <w:r w:rsidRPr="00BC4562">
        <w:rPr>
          <w:rFonts w:cs="AppleSystemUIFont"/>
          <w:color w:val="000000" w:themeColor="text1"/>
        </w:rPr>
        <w:t>Se autoriza la transferencia presupuestal que solicita la Secretaria Técnica, que ajusta las partidas 214 Materiales y útiles menores de tecnología de la información y comunicaciones, y 246 Material eléctrico y electrónico, a fin de dar suficiencia presupuestal a las partidas 292 Refacciones y accesorios menores de edificios y 254 Materiales, accesorios y suministros médicos, en la forma y montos que se describen en la propuesta del anexo 1.</w:t>
      </w:r>
    </w:p>
    <w:p w14:paraId="5C0691D1" w14:textId="77777777" w:rsidR="00BC4562" w:rsidRPr="003F71E2" w:rsidRDefault="00BC4562" w:rsidP="003F71E2">
      <w:pPr>
        <w:spacing w:line="240" w:lineRule="auto"/>
        <w:contextualSpacing/>
        <w:jc w:val="both"/>
        <w:rPr>
          <w:rFonts w:cs="AppleSystemUIFont"/>
          <w:color w:val="000000" w:themeColor="text1"/>
        </w:rPr>
      </w:pPr>
    </w:p>
    <w:p w14:paraId="7EE92080" w14:textId="7D323997" w:rsidR="003F71E2" w:rsidRDefault="003F71E2" w:rsidP="003F71E2">
      <w:pPr>
        <w:spacing w:line="240" w:lineRule="auto"/>
        <w:contextualSpacing/>
        <w:jc w:val="both"/>
        <w:rPr>
          <w:b/>
          <w:bCs/>
          <w:lang w:val="es-ES"/>
        </w:rPr>
      </w:pPr>
      <w:r>
        <w:rPr>
          <w:b/>
          <w:bCs/>
          <w:lang w:val="es-ES"/>
        </w:rPr>
        <w:t>A.</w:t>
      </w:r>
      <w:r w:rsidR="008B5A2F">
        <w:rPr>
          <w:b/>
          <w:bCs/>
          <w:lang w:val="es-ES"/>
        </w:rPr>
        <w:t>OG</w:t>
      </w:r>
      <w:r>
        <w:rPr>
          <w:b/>
          <w:bCs/>
          <w:lang w:val="es-ES"/>
        </w:rPr>
        <w:t>.2019.</w:t>
      </w:r>
      <w:r w:rsidR="00C23123">
        <w:rPr>
          <w:b/>
          <w:bCs/>
          <w:lang w:val="es-ES"/>
        </w:rPr>
        <w:t>3</w:t>
      </w:r>
      <w:r>
        <w:rPr>
          <w:b/>
          <w:bCs/>
          <w:lang w:val="es-ES"/>
        </w:rPr>
        <w:t>1</w:t>
      </w:r>
    </w:p>
    <w:p w14:paraId="1385AF1C" w14:textId="28ECF7A1" w:rsidR="00F669F1" w:rsidRDefault="00B05AE8" w:rsidP="44F2C78C">
      <w:pPr>
        <w:contextualSpacing/>
        <w:jc w:val="both"/>
        <w:rPr>
          <w:rFonts w:cs="AppleSystemUIFont"/>
          <w:color w:val="000000" w:themeColor="text1"/>
        </w:rPr>
      </w:pPr>
      <w:r w:rsidRPr="44F2C78C">
        <w:rPr>
          <w:rFonts w:cs="AppleSystemUIFont"/>
          <w:color w:val="000000" w:themeColor="text1"/>
        </w:rPr>
        <w:t>Se autoriza la creación de las partidas presupuestales 347</w:t>
      </w:r>
      <w:r w:rsidR="221B62CD" w:rsidRPr="44F2C78C">
        <w:rPr>
          <w:rFonts w:cs="AppleSystemUIFont"/>
          <w:color w:val="000000" w:themeColor="text1"/>
        </w:rPr>
        <w:t>,</w:t>
      </w:r>
      <w:r w:rsidRPr="44F2C78C">
        <w:rPr>
          <w:rFonts w:cs="AppleSystemUIFont"/>
          <w:color w:val="000000" w:themeColor="text1"/>
        </w:rPr>
        <w:t xml:space="preserve"> Fletes y maniobras</w:t>
      </w:r>
      <w:r w:rsidR="5448057B" w:rsidRPr="44F2C78C">
        <w:rPr>
          <w:rFonts w:cs="AppleSystemUIFont"/>
          <w:color w:val="000000" w:themeColor="text1"/>
        </w:rPr>
        <w:t>;</w:t>
      </w:r>
      <w:r w:rsidRPr="44F2C78C">
        <w:rPr>
          <w:rFonts w:cs="AppleSystemUIFont"/>
          <w:color w:val="000000" w:themeColor="text1"/>
        </w:rPr>
        <w:t xml:space="preserve"> 357</w:t>
      </w:r>
      <w:r w:rsidR="0F6480EC" w:rsidRPr="44F2C78C">
        <w:rPr>
          <w:rFonts w:cs="AppleSystemUIFont"/>
          <w:color w:val="000000" w:themeColor="text1"/>
        </w:rPr>
        <w:t>,</w:t>
      </w:r>
      <w:r w:rsidRPr="44F2C78C">
        <w:rPr>
          <w:rFonts w:cs="AppleSystemUIFont"/>
          <w:color w:val="000000" w:themeColor="text1"/>
        </w:rPr>
        <w:t xml:space="preserve"> Instalación, reparación y mantenimiento de maquinaria otros equipos y herramienta</w:t>
      </w:r>
      <w:r w:rsidR="2374348E" w:rsidRPr="44F2C78C">
        <w:rPr>
          <w:rFonts w:cs="AppleSystemUIFont"/>
          <w:color w:val="000000" w:themeColor="text1"/>
        </w:rPr>
        <w:t>;</w:t>
      </w:r>
      <w:r w:rsidRPr="44F2C78C">
        <w:rPr>
          <w:rFonts w:cs="AppleSystemUIFont"/>
          <w:color w:val="000000" w:themeColor="text1"/>
        </w:rPr>
        <w:t xml:space="preserve"> 359</w:t>
      </w:r>
      <w:r w:rsidR="35BC10EC" w:rsidRPr="44F2C78C">
        <w:rPr>
          <w:rFonts w:cs="AppleSystemUIFont"/>
          <w:color w:val="000000" w:themeColor="text1"/>
        </w:rPr>
        <w:t>,</w:t>
      </w:r>
      <w:r w:rsidRPr="44F2C78C">
        <w:rPr>
          <w:rFonts w:cs="AppleSystemUIFont"/>
          <w:color w:val="000000" w:themeColor="text1"/>
        </w:rPr>
        <w:t xml:space="preserve"> Servicios de jardinería y fumigación</w:t>
      </w:r>
      <w:r w:rsidR="3C99FEB0" w:rsidRPr="44F2C78C">
        <w:rPr>
          <w:rFonts w:cs="AppleSystemUIFont"/>
          <w:color w:val="000000" w:themeColor="text1"/>
        </w:rPr>
        <w:t>;</w:t>
      </w:r>
      <w:r w:rsidRPr="44F2C78C">
        <w:rPr>
          <w:rFonts w:cs="AppleSystemUIFont"/>
          <w:color w:val="000000" w:themeColor="text1"/>
        </w:rPr>
        <w:t xml:space="preserve"> 361</w:t>
      </w:r>
      <w:r w:rsidR="7622CA75" w:rsidRPr="44F2C78C">
        <w:rPr>
          <w:rFonts w:cs="AppleSystemUIFont"/>
          <w:color w:val="000000" w:themeColor="text1"/>
        </w:rPr>
        <w:t>,</w:t>
      </w:r>
      <w:r w:rsidRPr="44F2C78C">
        <w:rPr>
          <w:rFonts w:cs="AppleSystemUIFont"/>
          <w:color w:val="000000" w:themeColor="text1"/>
        </w:rPr>
        <w:t xml:space="preserve"> Difusión por radio, televisión y otros medios de mensajes sobre programas y actividades gubernamentales y la partida 399</w:t>
      </w:r>
      <w:r w:rsidR="0DAE76C8" w:rsidRPr="44F2C78C">
        <w:rPr>
          <w:rFonts w:cs="AppleSystemUIFont"/>
          <w:color w:val="000000" w:themeColor="text1"/>
        </w:rPr>
        <w:t>,</w:t>
      </w:r>
      <w:r w:rsidRPr="44F2C78C">
        <w:rPr>
          <w:rFonts w:cs="AppleSystemUIFont"/>
          <w:color w:val="000000" w:themeColor="text1"/>
        </w:rPr>
        <w:t xml:space="preserve"> Otros servicios generales, así como la transferencia presupuestal desde las partidas 313</w:t>
      </w:r>
      <w:r w:rsidR="45CF990A" w:rsidRPr="44F2C78C">
        <w:rPr>
          <w:rFonts w:cs="AppleSystemUIFont"/>
          <w:color w:val="000000" w:themeColor="text1"/>
        </w:rPr>
        <w:t>,</w:t>
      </w:r>
      <w:r w:rsidRPr="44F2C78C">
        <w:rPr>
          <w:rFonts w:cs="AppleSystemUIFont"/>
          <w:color w:val="000000" w:themeColor="text1"/>
        </w:rPr>
        <w:t xml:space="preserve"> Agua</w:t>
      </w:r>
      <w:r w:rsidR="7F80F25D" w:rsidRPr="44F2C78C">
        <w:rPr>
          <w:rFonts w:cs="AppleSystemUIFont"/>
          <w:color w:val="000000" w:themeColor="text1"/>
        </w:rPr>
        <w:t>;</w:t>
      </w:r>
      <w:r w:rsidRPr="44F2C78C">
        <w:rPr>
          <w:rFonts w:cs="AppleSystemUIFont"/>
          <w:color w:val="000000" w:themeColor="text1"/>
        </w:rPr>
        <w:t xml:space="preserve"> 314</w:t>
      </w:r>
      <w:r w:rsidR="5FE5E8AC" w:rsidRPr="44F2C78C">
        <w:rPr>
          <w:rFonts w:cs="AppleSystemUIFont"/>
          <w:color w:val="000000" w:themeColor="text1"/>
        </w:rPr>
        <w:t>,</w:t>
      </w:r>
      <w:r w:rsidRPr="44F2C78C">
        <w:rPr>
          <w:rFonts w:cs="AppleSystemUIFont"/>
          <w:color w:val="000000" w:themeColor="text1"/>
        </w:rPr>
        <w:t xml:space="preserve"> Telefonía tradicional</w:t>
      </w:r>
      <w:r w:rsidR="3FDFA695" w:rsidRPr="44F2C78C">
        <w:rPr>
          <w:rFonts w:cs="AppleSystemUIFont"/>
          <w:color w:val="000000" w:themeColor="text1"/>
        </w:rPr>
        <w:t>;</w:t>
      </w:r>
      <w:r w:rsidRPr="44F2C78C">
        <w:rPr>
          <w:rFonts w:cs="AppleSystemUIFont"/>
          <w:color w:val="000000" w:themeColor="text1"/>
        </w:rPr>
        <w:t xml:space="preserve"> 317</w:t>
      </w:r>
      <w:r w:rsidR="657CFEB0" w:rsidRPr="44F2C78C">
        <w:rPr>
          <w:rFonts w:cs="AppleSystemUIFont"/>
          <w:color w:val="000000" w:themeColor="text1"/>
        </w:rPr>
        <w:t>,</w:t>
      </w:r>
      <w:r w:rsidRPr="44F2C78C">
        <w:rPr>
          <w:rFonts w:cs="AppleSystemUIFont"/>
          <w:color w:val="000000" w:themeColor="text1"/>
        </w:rPr>
        <w:t xml:space="preserve"> Servicios de acceso de Internet, redes y procesamiento de información</w:t>
      </w:r>
      <w:r w:rsidR="2F184CDC" w:rsidRPr="44F2C78C">
        <w:rPr>
          <w:rFonts w:cs="AppleSystemUIFont"/>
          <w:color w:val="000000" w:themeColor="text1"/>
        </w:rPr>
        <w:t>;</w:t>
      </w:r>
      <w:r w:rsidRPr="44F2C78C">
        <w:rPr>
          <w:rFonts w:cs="AppleSystemUIFont"/>
          <w:color w:val="000000" w:themeColor="text1"/>
        </w:rPr>
        <w:t xml:space="preserve"> 319</w:t>
      </w:r>
      <w:r w:rsidR="5EB93AE4" w:rsidRPr="44F2C78C">
        <w:rPr>
          <w:rFonts w:cs="AppleSystemUIFont"/>
          <w:color w:val="000000" w:themeColor="text1"/>
        </w:rPr>
        <w:t>,</w:t>
      </w:r>
      <w:r w:rsidRPr="44F2C78C">
        <w:rPr>
          <w:rFonts w:cs="AppleSystemUIFont"/>
          <w:color w:val="000000" w:themeColor="text1"/>
        </w:rPr>
        <w:t xml:space="preserve"> Servicios integrales y otros servicios, </w:t>
      </w:r>
      <w:r w:rsidR="71453FB2" w:rsidRPr="44F2C78C">
        <w:rPr>
          <w:rFonts w:cs="AppleSystemUIFont"/>
          <w:color w:val="000000" w:themeColor="text1"/>
        </w:rPr>
        <w:t>;</w:t>
      </w:r>
      <w:r w:rsidRPr="44F2C78C">
        <w:rPr>
          <w:rFonts w:cs="AppleSystemUIFont"/>
          <w:color w:val="000000" w:themeColor="text1"/>
        </w:rPr>
        <w:t>322</w:t>
      </w:r>
      <w:r w:rsidR="21A9BD2C" w:rsidRPr="44F2C78C">
        <w:rPr>
          <w:rFonts w:cs="AppleSystemUIFont"/>
          <w:color w:val="000000" w:themeColor="text1"/>
        </w:rPr>
        <w:t>,</w:t>
      </w:r>
      <w:r w:rsidRPr="44F2C78C">
        <w:rPr>
          <w:rFonts w:cs="AppleSystemUIFont"/>
          <w:color w:val="000000" w:themeColor="text1"/>
        </w:rPr>
        <w:t xml:space="preserve"> Arrendamiento de edificios</w:t>
      </w:r>
      <w:r w:rsidR="484F0877" w:rsidRPr="44F2C78C">
        <w:rPr>
          <w:rFonts w:cs="AppleSystemUIFont"/>
          <w:color w:val="000000" w:themeColor="text1"/>
        </w:rPr>
        <w:t>;</w:t>
      </w:r>
      <w:r w:rsidRPr="44F2C78C">
        <w:rPr>
          <w:rFonts w:cs="AppleSystemUIFont"/>
          <w:color w:val="000000" w:themeColor="text1"/>
        </w:rPr>
        <w:t xml:space="preserve"> 323</w:t>
      </w:r>
      <w:r w:rsidR="02A3EF09" w:rsidRPr="44F2C78C">
        <w:rPr>
          <w:rFonts w:cs="AppleSystemUIFont"/>
          <w:color w:val="000000" w:themeColor="text1"/>
        </w:rPr>
        <w:t>,</w:t>
      </w:r>
      <w:r w:rsidRPr="44F2C78C">
        <w:rPr>
          <w:rFonts w:cs="AppleSystemUIFont"/>
          <w:color w:val="000000" w:themeColor="text1"/>
        </w:rPr>
        <w:t xml:space="preserve"> Arrendamiento de mobiliario y equipo de administración, educacional</w:t>
      </w:r>
      <w:r w:rsidR="667F536F" w:rsidRPr="44F2C78C">
        <w:rPr>
          <w:rFonts w:cs="AppleSystemUIFont"/>
          <w:color w:val="000000" w:themeColor="text1"/>
        </w:rPr>
        <w:t>;</w:t>
      </w:r>
      <w:r w:rsidRPr="44F2C78C">
        <w:rPr>
          <w:rFonts w:cs="AppleSystemUIFont"/>
          <w:color w:val="000000" w:themeColor="text1"/>
        </w:rPr>
        <w:t xml:space="preserve"> 333</w:t>
      </w:r>
      <w:r w:rsidR="5019FED3" w:rsidRPr="44F2C78C">
        <w:rPr>
          <w:rFonts w:cs="AppleSystemUIFont"/>
          <w:color w:val="000000" w:themeColor="text1"/>
        </w:rPr>
        <w:t>,</w:t>
      </w:r>
      <w:r w:rsidRPr="44F2C78C">
        <w:rPr>
          <w:rFonts w:cs="AppleSystemUIFont"/>
          <w:color w:val="000000" w:themeColor="text1"/>
        </w:rPr>
        <w:t xml:space="preserve"> Servicios de consultoría administrativa, procesos, técnica y en tecnologías de la información</w:t>
      </w:r>
      <w:r w:rsidR="60B24073" w:rsidRPr="44F2C78C">
        <w:rPr>
          <w:rFonts w:cs="AppleSystemUIFont"/>
          <w:color w:val="000000" w:themeColor="text1"/>
        </w:rPr>
        <w:t>;</w:t>
      </w:r>
      <w:r w:rsidRPr="44F2C78C">
        <w:rPr>
          <w:rFonts w:cs="AppleSystemUIFont"/>
          <w:color w:val="000000" w:themeColor="text1"/>
        </w:rPr>
        <w:t xml:space="preserve"> 336</w:t>
      </w:r>
      <w:r w:rsidR="5670FB0C" w:rsidRPr="44F2C78C">
        <w:rPr>
          <w:rFonts w:cs="AppleSystemUIFont"/>
          <w:color w:val="000000" w:themeColor="text1"/>
        </w:rPr>
        <w:t>,</w:t>
      </w:r>
      <w:r w:rsidRPr="44F2C78C">
        <w:rPr>
          <w:rFonts w:cs="AppleSystemUIFont"/>
          <w:color w:val="000000" w:themeColor="text1"/>
        </w:rPr>
        <w:t xml:space="preserve"> Servicios de apoyo administrativo, fotocopiado e impresión</w:t>
      </w:r>
      <w:r w:rsidR="4FE2010E" w:rsidRPr="44F2C78C">
        <w:rPr>
          <w:rFonts w:cs="AppleSystemUIFont"/>
          <w:color w:val="000000" w:themeColor="text1"/>
        </w:rPr>
        <w:t>;</w:t>
      </w:r>
      <w:r w:rsidRPr="44F2C78C">
        <w:rPr>
          <w:rFonts w:cs="AppleSystemUIFont"/>
          <w:color w:val="000000" w:themeColor="text1"/>
        </w:rPr>
        <w:t xml:space="preserve"> 341</w:t>
      </w:r>
      <w:r w:rsidR="4C68BA01" w:rsidRPr="44F2C78C">
        <w:rPr>
          <w:rFonts w:cs="AppleSystemUIFont"/>
          <w:color w:val="000000" w:themeColor="text1"/>
        </w:rPr>
        <w:t>,</w:t>
      </w:r>
      <w:r w:rsidRPr="44F2C78C">
        <w:rPr>
          <w:rFonts w:cs="AppleSystemUIFont"/>
          <w:color w:val="000000" w:themeColor="text1"/>
        </w:rPr>
        <w:t xml:space="preserve"> Servicios financieros y bancarios</w:t>
      </w:r>
      <w:r w:rsidR="59F82C99" w:rsidRPr="44F2C78C">
        <w:rPr>
          <w:rFonts w:cs="AppleSystemUIFont"/>
          <w:color w:val="000000" w:themeColor="text1"/>
        </w:rPr>
        <w:t xml:space="preserve">; </w:t>
      </w:r>
      <w:r w:rsidRPr="44F2C78C">
        <w:rPr>
          <w:rFonts w:cs="AppleSystemUIFont"/>
          <w:color w:val="000000" w:themeColor="text1"/>
        </w:rPr>
        <w:t>345</w:t>
      </w:r>
      <w:r w:rsidR="45821BF7" w:rsidRPr="44F2C78C">
        <w:rPr>
          <w:rFonts w:cs="AppleSystemUIFont"/>
          <w:color w:val="000000" w:themeColor="text1"/>
        </w:rPr>
        <w:t>,</w:t>
      </w:r>
      <w:r w:rsidRPr="44F2C78C">
        <w:rPr>
          <w:rFonts w:cs="AppleSystemUIFont"/>
          <w:color w:val="000000" w:themeColor="text1"/>
        </w:rPr>
        <w:t xml:space="preserve"> Seguro de bienes patrimoniales</w:t>
      </w:r>
      <w:r w:rsidR="19762E7A" w:rsidRPr="44F2C78C">
        <w:rPr>
          <w:rFonts w:cs="AppleSystemUIFont"/>
          <w:color w:val="000000" w:themeColor="text1"/>
        </w:rPr>
        <w:t xml:space="preserve">; </w:t>
      </w:r>
      <w:r w:rsidRPr="44F2C78C">
        <w:rPr>
          <w:rFonts w:cs="AppleSystemUIFont"/>
          <w:color w:val="000000" w:themeColor="text1"/>
        </w:rPr>
        <w:t>375</w:t>
      </w:r>
      <w:r w:rsidR="3A49B085" w:rsidRPr="44F2C78C">
        <w:rPr>
          <w:rFonts w:cs="AppleSystemUIFont"/>
          <w:color w:val="000000" w:themeColor="text1"/>
        </w:rPr>
        <w:t>;</w:t>
      </w:r>
      <w:r w:rsidRPr="44F2C78C">
        <w:rPr>
          <w:rFonts w:cs="AppleSystemUIFont"/>
          <w:color w:val="000000" w:themeColor="text1"/>
        </w:rPr>
        <w:t xml:space="preserve"> Viáticos en el país</w:t>
      </w:r>
      <w:r w:rsidR="39F625B8" w:rsidRPr="44F2C78C">
        <w:rPr>
          <w:rFonts w:cs="AppleSystemUIFont"/>
          <w:color w:val="000000" w:themeColor="text1"/>
        </w:rPr>
        <w:t>;</w:t>
      </w:r>
      <w:r w:rsidRPr="44F2C78C">
        <w:rPr>
          <w:rFonts w:cs="AppleSystemUIFont"/>
          <w:color w:val="000000" w:themeColor="text1"/>
        </w:rPr>
        <w:t xml:space="preserve"> 379</w:t>
      </w:r>
      <w:r w:rsidR="38C95841" w:rsidRPr="44F2C78C">
        <w:rPr>
          <w:rFonts w:cs="AppleSystemUIFont"/>
          <w:color w:val="000000" w:themeColor="text1"/>
        </w:rPr>
        <w:t>,</w:t>
      </w:r>
      <w:r w:rsidRPr="44F2C78C">
        <w:rPr>
          <w:rFonts w:cs="AppleSystemUIFont"/>
          <w:color w:val="000000" w:themeColor="text1"/>
        </w:rPr>
        <w:t xml:space="preserve"> Otros Servicios de traslado y hospedaje</w:t>
      </w:r>
      <w:r w:rsidR="367468E2" w:rsidRPr="44F2C78C">
        <w:rPr>
          <w:rFonts w:cs="AppleSystemUIFont"/>
          <w:color w:val="000000" w:themeColor="text1"/>
        </w:rPr>
        <w:t xml:space="preserve">; </w:t>
      </w:r>
      <w:r w:rsidRPr="44F2C78C">
        <w:rPr>
          <w:rFonts w:cs="AppleSystemUIFont"/>
          <w:color w:val="000000" w:themeColor="text1"/>
        </w:rPr>
        <w:t>392</w:t>
      </w:r>
      <w:r w:rsidR="0DC51D66" w:rsidRPr="44F2C78C">
        <w:rPr>
          <w:rFonts w:cs="AppleSystemUIFont"/>
          <w:color w:val="000000" w:themeColor="text1"/>
        </w:rPr>
        <w:t>,</w:t>
      </w:r>
      <w:r w:rsidRPr="44F2C78C">
        <w:rPr>
          <w:rFonts w:cs="AppleSystemUIFont"/>
          <w:color w:val="000000" w:themeColor="text1"/>
        </w:rPr>
        <w:t xml:space="preserve"> Impuestos y derechos, que darán suficiencia presupuestal a las partidas 331</w:t>
      </w:r>
      <w:r w:rsidR="34D3DB21" w:rsidRPr="44F2C78C">
        <w:rPr>
          <w:rFonts w:cs="AppleSystemUIFont"/>
          <w:color w:val="000000" w:themeColor="text1"/>
        </w:rPr>
        <w:t>,</w:t>
      </w:r>
      <w:r w:rsidRPr="44F2C78C">
        <w:rPr>
          <w:rFonts w:cs="AppleSystemUIFont"/>
          <w:color w:val="000000" w:themeColor="text1"/>
        </w:rPr>
        <w:t xml:space="preserve"> Servicios legales</w:t>
      </w:r>
      <w:r w:rsidR="0DCBDAD2" w:rsidRPr="44F2C78C">
        <w:rPr>
          <w:rFonts w:cs="AppleSystemUIFont"/>
          <w:color w:val="000000" w:themeColor="text1"/>
        </w:rPr>
        <w:t>;</w:t>
      </w:r>
      <w:r w:rsidRPr="44F2C78C">
        <w:rPr>
          <w:rFonts w:cs="AppleSystemUIFont"/>
          <w:color w:val="000000" w:themeColor="text1"/>
        </w:rPr>
        <w:t xml:space="preserve"> 351</w:t>
      </w:r>
      <w:r w:rsidR="0A96B214" w:rsidRPr="44F2C78C">
        <w:rPr>
          <w:rFonts w:cs="AppleSystemUIFont"/>
          <w:color w:val="000000" w:themeColor="text1"/>
        </w:rPr>
        <w:t>,</w:t>
      </w:r>
      <w:r w:rsidRPr="44F2C78C">
        <w:rPr>
          <w:rFonts w:cs="AppleSystemUIFont"/>
          <w:color w:val="000000" w:themeColor="text1"/>
        </w:rPr>
        <w:t xml:space="preserve"> Conservación y mantenimiento menor de inmuebles de contabilidad, auditoría y relacionados</w:t>
      </w:r>
      <w:r w:rsidR="6E3D6837" w:rsidRPr="44F2C78C">
        <w:rPr>
          <w:rFonts w:cs="AppleSystemUIFont"/>
          <w:color w:val="000000" w:themeColor="text1"/>
        </w:rPr>
        <w:t>;</w:t>
      </w:r>
      <w:r w:rsidRPr="44F2C78C">
        <w:rPr>
          <w:rFonts w:cs="AppleSystemUIFont"/>
          <w:color w:val="000000" w:themeColor="text1"/>
        </w:rPr>
        <w:t xml:space="preserve"> 338</w:t>
      </w:r>
      <w:r w:rsidR="6DEFA711" w:rsidRPr="44F2C78C">
        <w:rPr>
          <w:rFonts w:cs="AppleSystemUIFont"/>
          <w:color w:val="000000" w:themeColor="text1"/>
        </w:rPr>
        <w:t>,</w:t>
      </w:r>
      <w:r w:rsidRPr="44F2C78C">
        <w:rPr>
          <w:rFonts w:cs="AppleSystemUIFont"/>
          <w:color w:val="000000" w:themeColor="text1"/>
        </w:rPr>
        <w:t xml:space="preserve"> Servicios de vigilancia</w:t>
      </w:r>
      <w:r w:rsidR="7D87123C" w:rsidRPr="44F2C78C">
        <w:rPr>
          <w:rFonts w:cs="AppleSystemUIFont"/>
          <w:color w:val="000000" w:themeColor="text1"/>
        </w:rPr>
        <w:t>;</w:t>
      </w:r>
      <w:r w:rsidRPr="44F2C78C">
        <w:rPr>
          <w:rFonts w:cs="AppleSystemUIFont"/>
          <w:color w:val="000000" w:themeColor="text1"/>
        </w:rPr>
        <w:t xml:space="preserve"> 347</w:t>
      </w:r>
      <w:r w:rsidR="4F66EB6A" w:rsidRPr="44F2C78C">
        <w:rPr>
          <w:rFonts w:cs="AppleSystemUIFont"/>
          <w:color w:val="000000" w:themeColor="text1"/>
        </w:rPr>
        <w:t>,</w:t>
      </w:r>
      <w:r w:rsidRPr="44F2C78C">
        <w:rPr>
          <w:rFonts w:cs="AppleSystemUIFont"/>
          <w:color w:val="000000" w:themeColor="text1"/>
        </w:rPr>
        <w:t xml:space="preserve"> Fletes y maniobras</w:t>
      </w:r>
      <w:r w:rsidR="5DE2259D" w:rsidRPr="44F2C78C">
        <w:rPr>
          <w:rFonts w:cs="AppleSystemUIFont"/>
          <w:color w:val="000000" w:themeColor="text1"/>
        </w:rPr>
        <w:t xml:space="preserve">; </w:t>
      </w:r>
      <w:r w:rsidRPr="44F2C78C">
        <w:rPr>
          <w:rFonts w:cs="AppleSystemUIFont"/>
          <w:color w:val="000000" w:themeColor="text1"/>
        </w:rPr>
        <w:t>357</w:t>
      </w:r>
      <w:r w:rsidR="10E4ED9C" w:rsidRPr="44F2C78C">
        <w:rPr>
          <w:rFonts w:cs="AppleSystemUIFont"/>
          <w:color w:val="000000" w:themeColor="text1"/>
        </w:rPr>
        <w:t>,</w:t>
      </w:r>
      <w:r w:rsidRPr="44F2C78C">
        <w:rPr>
          <w:rFonts w:cs="AppleSystemUIFont"/>
          <w:color w:val="000000" w:themeColor="text1"/>
        </w:rPr>
        <w:t xml:space="preserve"> Instalación, reparación y mantenimiento de maquinaria otros equipos y herramienta</w:t>
      </w:r>
      <w:r w:rsidR="34F3851B" w:rsidRPr="44F2C78C">
        <w:rPr>
          <w:rFonts w:cs="AppleSystemUIFont"/>
          <w:color w:val="000000" w:themeColor="text1"/>
        </w:rPr>
        <w:t>;</w:t>
      </w:r>
      <w:r w:rsidRPr="44F2C78C">
        <w:rPr>
          <w:rFonts w:cs="AppleSystemUIFont"/>
          <w:color w:val="000000" w:themeColor="text1"/>
        </w:rPr>
        <w:t xml:space="preserve"> 359</w:t>
      </w:r>
      <w:r w:rsidR="04A80160" w:rsidRPr="44F2C78C">
        <w:rPr>
          <w:rFonts w:cs="AppleSystemUIFont"/>
          <w:color w:val="000000" w:themeColor="text1"/>
        </w:rPr>
        <w:t>,</w:t>
      </w:r>
      <w:r w:rsidRPr="44F2C78C">
        <w:rPr>
          <w:rFonts w:cs="AppleSystemUIFont"/>
          <w:color w:val="000000" w:themeColor="text1"/>
        </w:rPr>
        <w:t xml:space="preserve"> Servicios de jardinería y fumigación</w:t>
      </w:r>
      <w:r w:rsidR="1C846930" w:rsidRPr="44F2C78C">
        <w:rPr>
          <w:rFonts w:cs="AppleSystemUIFont"/>
          <w:color w:val="000000" w:themeColor="text1"/>
        </w:rPr>
        <w:t>;</w:t>
      </w:r>
      <w:r w:rsidRPr="44F2C78C">
        <w:rPr>
          <w:rFonts w:cs="AppleSystemUIFont"/>
          <w:color w:val="000000" w:themeColor="text1"/>
        </w:rPr>
        <w:t xml:space="preserve"> 361</w:t>
      </w:r>
      <w:r w:rsidR="7CF159CA" w:rsidRPr="44F2C78C">
        <w:rPr>
          <w:rFonts w:cs="AppleSystemUIFont"/>
          <w:color w:val="000000" w:themeColor="text1"/>
        </w:rPr>
        <w:t>,</w:t>
      </w:r>
      <w:r w:rsidRPr="44F2C78C">
        <w:rPr>
          <w:rFonts w:cs="AppleSystemUIFont"/>
          <w:color w:val="000000" w:themeColor="text1"/>
        </w:rPr>
        <w:t xml:space="preserve"> Difusión por radio, televisión y otros medios de mensajes sobre programas y </w:t>
      </w:r>
      <w:r w:rsidRPr="44F2C78C">
        <w:rPr>
          <w:rFonts w:cs="AppleSystemUIFont"/>
          <w:color w:val="000000" w:themeColor="text1"/>
        </w:rPr>
        <w:lastRenderedPageBreak/>
        <w:t>actividades gubernamentales</w:t>
      </w:r>
      <w:r w:rsidR="2A209A23" w:rsidRPr="44F2C78C">
        <w:rPr>
          <w:rFonts w:cs="AppleSystemUIFont"/>
          <w:color w:val="000000" w:themeColor="text1"/>
        </w:rPr>
        <w:t>,</w:t>
      </w:r>
      <w:r w:rsidRPr="44F2C78C">
        <w:rPr>
          <w:rFonts w:cs="AppleSystemUIFont"/>
          <w:color w:val="000000" w:themeColor="text1"/>
        </w:rPr>
        <w:t xml:space="preserve"> y la partida 399</w:t>
      </w:r>
      <w:r w:rsidR="7709B65E" w:rsidRPr="44F2C78C">
        <w:rPr>
          <w:rFonts w:cs="AppleSystemUIFont"/>
          <w:color w:val="000000" w:themeColor="text1"/>
        </w:rPr>
        <w:t>,</w:t>
      </w:r>
      <w:r w:rsidRPr="44F2C78C">
        <w:rPr>
          <w:rFonts w:cs="AppleSystemUIFont"/>
          <w:color w:val="000000" w:themeColor="text1"/>
        </w:rPr>
        <w:t xml:space="preserve"> Otros servicios generales, en la forma y montos que se describen en la propuesta del anexo 1.</w:t>
      </w:r>
    </w:p>
    <w:p w14:paraId="5E98757F" w14:textId="77777777" w:rsidR="00B05AE8" w:rsidRDefault="00B05AE8" w:rsidP="003F71E2">
      <w:pPr>
        <w:spacing w:line="240" w:lineRule="auto"/>
        <w:contextualSpacing/>
        <w:jc w:val="both"/>
        <w:rPr>
          <w:b/>
          <w:bCs/>
          <w:lang w:val="es-ES"/>
        </w:rPr>
      </w:pPr>
    </w:p>
    <w:p w14:paraId="6DEEB361" w14:textId="6EEB93F8" w:rsidR="003F71E2" w:rsidRDefault="003F71E2" w:rsidP="003F71E2">
      <w:pPr>
        <w:spacing w:line="240" w:lineRule="auto"/>
        <w:contextualSpacing/>
        <w:jc w:val="both"/>
        <w:rPr>
          <w:b/>
          <w:bCs/>
          <w:lang w:val="es-ES"/>
        </w:rPr>
      </w:pPr>
      <w:r>
        <w:rPr>
          <w:b/>
          <w:bCs/>
          <w:lang w:val="es-ES"/>
        </w:rPr>
        <w:t>A.</w:t>
      </w:r>
      <w:r w:rsidR="008B5A2F">
        <w:rPr>
          <w:b/>
          <w:bCs/>
          <w:lang w:val="es-ES"/>
        </w:rPr>
        <w:t>OG</w:t>
      </w:r>
      <w:r>
        <w:rPr>
          <w:b/>
          <w:bCs/>
          <w:lang w:val="es-ES"/>
        </w:rPr>
        <w:t>.2019.</w:t>
      </w:r>
      <w:r w:rsidR="00F669F1">
        <w:rPr>
          <w:b/>
          <w:bCs/>
          <w:lang w:val="es-ES"/>
        </w:rPr>
        <w:t>3</w:t>
      </w:r>
      <w:r w:rsidR="003E3032">
        <w:rPr>
          <w:b/>
          <w:bCs/>
          <w:lang w:val="es-ES"/>
        </w:rPr>
        <w:t>2</w:t>
      </w:r>
    </w:p>
    <w:p w14:paraId="33867C52" w14:textId="27B1B26B" w:rsidR="00333684" w:rsidRDefault="00B05AE8" w:rsidP="003E3032">
      <w:pPr>
        <w:spacing w:line="240" w:lineRule="auto"/>
        <w:contextualSpacing/>
        <w:jc w:val="both"/>
      </w:pPr>
      <w:r>
        <w:t>Se hace del conocimiento el Anteproyecto de Presupuesto 2020 de la Secretaría Ejecutiva del Sistema Estatal Anticorrupción.</w:t>
      </w:r>
    </w:p>
    <w:p w14:paraId="529C2502" w14:textId="77777777" w:rsidR="00737AA6" w:rsidRDefault="00737AA6" w:rsidP="003E3032">
      <w:pPr>
        <w:spacing w:line="240" w:lineRule="auto"/>
        <w:contextualSpacing/>
        <w:jc w:val="both"/>
        <w:rPr>
          <w:b/>
          <w:bCs/>
          <w:lang w:val="es-ES"/>
        </w:rPr>
      </w:pPr>
    </w:p>
    <w:p w14:paraId="1D8E0446" w14:textId="69F40CCE" w:rsidR="003E3032" w:rsidRDefault="003E3032" w:rsidP="003E3032">
      <w:pPr>
        <w:spacing w:line="240" w:lineRule="auto"/>
        <w:contextualSpacing/>
        <w:jc w:val="both"/>
        <w:rPr>
          <w:b/>
          <w:bCs/>
          <w:lang w:val="es-ES"/>
        </w:rPr>
      </w:pPr>
      <w:r>
        <w:rPr>
          <w:b/>
          <w:bCs/>
          <w:lang w:val="es-ES"/>
        </w:rPr>
        <w:t>A.O</w:t>
      </w:r>
      <w:r w:rsidR="008B5A2F">
        <w:rPr>
          <w:b/>
          <w:bCs/>
          <w:lang w:val="es-ES"/>
        </w:rPr>
        <w:t>G</w:t>
      </w:r>
      <w:r>
        <w:rPr>
          <w:b/>
          <w:bCs/>
          <w:lang w:val="es-ES"/>
        </w:rPr>
        <w:t>.2019.</w:t>
      </w:r>
      <w:r w:rsidR="00F669F1">
        <w:rPr>
          <w:b/>
          <w:bCs/>
          <w:lang w:val="es-ES"/>
        </w:rPr>
        <w:t>3</w:t>
      </w:r>
      <w:r>
        <w:rPr>
          <w:b/>
          <w:bCs/>
          <w:lang w:val="es-ES"/>
        </w:rPr>
        <w:t>3</w:t>
      </w:r>
    </w:p>
    <w:p w14:paraId="3198CEFF" w14:textId="63E02FD5" w:rsidR="00333684" w:rsidRDefault="00C37659" w:rsidP="44F2C78C">
      <w:pPr>
        <w:contextualSpacing/>
        <w:jc w:val="both"/>
        <w:rPr>
          <w:rFonts w:cs="AppleSystemUIFont"/>
          <w:color w:val="000000" w:themeColor="text1"/>
        </w:rPr>
      </w:pPr>
      <w:r w:rsidRPr="44F2C78C">
        <w:rPr>
          <w:rFonts w:cs="AppleSystemUIFont"/>
          <w:color w:val="000000" w:themeColor="text1"/>
        </w:rPr>
        <w:t>Se solicita a la Secretaria Técnica someta a aprobación del Órgano de Gobierno, a partir de los siguientes ejercicios presupuestarios, el Anteproyecto de Presupuesto, previo a la entrega a la Secretaría de la Hacienda Pública.</w:t>
      </w:r>
    </w:p>
    <w:p w14:paraId="42FE9759" w14:textId="5477AF1F" w:rsidR="00893C63" w:rsidRDefault="00893C63" w:rsidP="00D643D7">
      <w:pPr>
        <w:spacing w:line="240" w:lineRule="auto"/>
        <w:jc w:val="both"/>
      </w:pPr>
    </w:p>
    <w:p w14:paraId="0E862416" w14:textId="4B232214" w:rsidR="00AD69D1" w:rsidRDefault="00AD69D1" w:rsidP="00D643D7">
      <w:pPr>
        <w:spacing w:line="240" w:lineRule="auto"/>
        <w:jc w:val="both"/>
      </w:pPr>
    </w:p>
    <w:p w14:paraId="1DDF3B0D" w14:textId="17E916C6" w:rsidR="00AD69D1" w:rsidRDefault="00AD69D1" w:rsidP="00D643D7">
      <w:pPr>
        <w:spacing w:line="240" w:lineRule="auto"/>
        <w:jc w:val="both"/>
      </w:pPr>
    </w:p>
    <w:p w14:paraId="641B747B" w14:textId="0C5088A0" w:rsidR="00AD69D1" w:rsidRDefault="00AD69D1" w:rsidP="00D643D7">
      <w:pPr>
        <w:spacing w:line="240" w:lineRule="auto"/>
        <w:jc w:val="both"/>
      </w:pPr>
    </w:p>
    <w:p w14:paraId="089611DC" w14:textId="0037CD16" w:rsidR="00AD69D1" w:rsidRDefault="00AD69D1" w:rsidP="00D643D7">
      <w:pPr>
        <w:spacing w:line="240" w:lineRule="auto"/>
        <w:jc w:val="both"/>
      </w:pPr>
    </w:p>
    <w:p w14:paraId="77C38640" w14:textId="23024D79" w:rsidR="00AD69D1" w:rsidRDefault="00AD69D1" w:rsidP="00D643D7">
      <w:pPr>
        <w:spacing w:line="240" w:lineRule="auto"/>
        <w:jc w:val="both"/>
      </w:pPr>
    </w:p>
    <w:p w14:paraId="2A62E55D" w14:textId="2F05E26C" w:rsidR="00AD69D1" w:rsidRDefault="00AD69D1" w:rsidP="00D643D7">
      <w:pPr>
        <w:spacing w:line="240" w:lineRule="auto"/>
        <w:jc w:val="both"/>
      </w:pPr>
    </w:p>
    <w:p w14:paraId="0FCC2793" w14:textId="2616D9D1" w:rsidR="00AD69D1" w:rsidRDefault="00AD69D1" w:rsidP="00D643D7">
      <w:pPr>
        <w:spacing w:line="240" w:lineRule="auto"/>
        <w:jc w:val="both"/>
      </w:pPr>
    </w:p>
    <w:p w14:paraId="55AEEF3B" w14:textId="331C8F23" w:rsidR="00AD69D1" w:rsidRDefault="00AD69D1" w:rsidP="00D643D7">
      <w:pPr>
        <w:spacing w:line="240" w:lineRule="auto"/>
        <w:jc w:val="both"/>
      </w:pPr>
    </w:p>
    <w:p w14:paraId="69AC1059" w14:textId="08FC0FFC" w:rsidR="00AD69D1" w:rsidRDefault="00AD69D1" w:rsidP="00D643D7">
      <w:pPr>
        <w:spacing w:line="240" w:lineRule="auto"/>
        <w:jc w:val="both"/>
      </w:pPr>
    </w:p>
    <w:p w14:paraId="48FDEE5E" w14:textId="50AE725A" w:rsidR="00AD69D1" w:rsidRDefault="00AD69D1" w:rsidP="00D643D7">
      <w:pPr>
        <w:spacing w:line="240" w:lineRule="auto"/>
        <w:jc w:val="both"/>
      </w:pPr>
    </w:p>
    <w:p w14:paraId="4F65B73E" w14:textId="0C33A97B" w:rsidR="00AD69D1" w:rsidRDefault="00AD69D1" w:rsidP="00D643D7">
      <w:pPr>
        <w:spacing w:line="240" w:lineRule="auto"/>
        <w:jc w:val="both"/>
      </w:pPr>
    </w:p>
    <w:p w14:paraId="34F99300" w14:textId="65892D22" w:rsidR="00AD69D1" w:rsidRDefault="00AD69D1" w:rsidP="00D643D7">
      <w:pPr>
        <w:spacing w:line="240" w:lineRule="auto"/>
        <w:jc w:val="both"/>
      </w:pPr>
    </w:p>
    <w:p w14:paraId="5A954BCA" w14:textId="2C896771" w:rsidR="00AD69D1" w:rsidRDefault="00AD69D1" w:rsidP="00D643D7">
      <w:pPr>
        <w:spacing w:line="240" w:lineRule="auto"/>
        <w:jc w:val="both"/>
      </w:pPr>
    </w:p>
    <w:p w14:paraId="2E521279" w14:textId="1D9B7D2F" w:rsidR="00AD69D1" w:rsidRDefault="00AD69D1" w:rsidP="00D643D7">
      <w:pPr>
        <w:spacing w:line="240" w:lineRule="auto"/>
        <w:jc w:val="both"/>
      </w:pPr>
    </w:p>
    <w:p w14:paraId="711E23A7" w14:textId="2C4AA49F" w:rsidR="00AD69D1" w:rsidRDefault="00AD69D1" w:rsidP="00D643D7">
      <w:pPr>
        <w:spacing w:line="240" w:lineRule="auto"/>
        <w:jc w:val="both"/>
      </w:pPr>
    </w:p>
    <w:p w14:paraId="469A316B" w14:textId="24669E8E" w:rsidR="00AD69D1" w:rsidRDefault="00AD69D1" w:rsidP="00D643D7">
      <w:pPr>
        <w:spacing w:line="240" w:lineRule="auto"/>
        <w:jc w:val="both"/>
      </w:pPr>
    </w:p>
    <w:p w14:paraId="0FDD6868" w14:textId="3BFB27D0" w:rsidR="00AD69D1" w:rsidRDefault="00AD69D1" w:rsidP="00D643D7">
      <w:pPr>
        <w:spacing w:line="240" w:lineRule="auto"/>
        <w:jc w:val="both"/>
      </w:pPr>
    </w:p>
    <w:p w14:paraId="272A3161" w14:textId="18B51EC6" w:rsidR="00737AA6" w:rsidRDefault="00737AA6" w:rsidP="00D643D7">
      <w:pPr>
        <w:spacing w:line="240" w:lineRule="auto"/>
        <w:jc w:val="both"/>
      </w:pPr>
    </w:p>
    <w:p w14:paraId="776A3ECF" w14:textId="77777777" w:rsidR="00737AA6" w:rsidRPr="00FF7D80" w:rsidRDefault="00737AA6" w:rsidP="00D643D7">
      <w:pPr>
        <w:spacing w:line="240" w:lineRule="auto"/>
        <w:jc w:val="both"/>
      </w:pPr>
    </w:p>
    <w:p w14:paraId="3C010495" w14:textId="77777777" w:rsidR="00D643D7" w:rsidRPr="00D643D7" w:rsidRDefault="00D643D7" w:rsidP="00B556AD">
      <w:pPr>
        <w:pStyle w:val="Prrafodelista"/>
        <w:numPr>
          <w:ilvl w:val="0"/>
          <w:numId w:val="1"/>
        </w:numPr>
        <w:spacing w:line="240" w:lineRule="auto"/>
        <w:jc w:val="both"/>
        <w:rPr>
          <w:b/>
          <w:bCs/>
          <w:lang w:val="es-ES"/>
        </w:rPr>
      </w:pPr>
      <w:r>
        <w:rPr>
          <w:b/>
          <w:bCs/>
          <w:lang w:val="es-ES"/>
        </w:rPr>
        <w:t xml:space="preserve">Clausura de la </w:t>
      </w:r>
      <w:r w:rsidR="00951921">
        <w:rPr>
          <w:b/>
          <w:bCs/>
          <w:lang w:val="es-ES"/>
        </w:rPr>
        <w:t>s</w:t>
      </w:r>
      <w:r>
        <w:rPr>
          <w:b/>
          <w:bCs/>
          <w:lang w:val="es-ES"/>
        </w:rPr>
        <w:t>esión</w:t>
      </w:r>
    </w:p>
    <w:p w14:paraId="0E198B0B" w14:textId="02A6F517" w:rsidR="00825DCD" w:rsidRDefault="00825DCD" w:rsidP="006F6F79">
      <w:pPr>
        <w:spacing w:line="240" w:lineRule="auto"/>
        <w:jc w:val="both"/>
        <w:rPr>
          <w:lang w:eastAsia="es-MX"/>
        </w:rPr>
      </w:pPr>
      <w:r w:rsidRPr="005D38F3">
        <w:rPr>
          <w:lang w:eastAsia="es-MX"/>
        </w:rPr>
        <w:t>Se d</w:t>
      </w:r>
      <w:r w:rsidR="00AB3922">
        <w:rPr>
          <w:lang w:eastAsia="es-MX"/>
        </w:rPr>
        <w:t>a</w:t>
      </w:r>
      <w:r w:rsidRPr="005D38F3">
        <w:rPr>
          <w:lang w:eastAsia="es-MX"/>
        </w:rPr>
        <w:t xml:space="preserve"> por clausurada la </w:t>
      </w:r>
      <w:r w:rsidR="00951921">
        <w:rPr>
          <w:lang w:eastAsia="es-MX"/>
        </w:rPr>
        <w:t>s</w:t>
      </w:r>
      <w:r w:rsidRPr="00DA060D">
        <w:rPr>
          <w:lang w:eastAsia="es-MX"/>
        </w:rPr>
        <w:t xml:space="preserve">esión a las </w:t>
      </w:r>
      <w:r w:rsidR="0084475F">
        <w:rPr>
          <w:lang w:eastAsia="es-MX"/>
        </w:rPr>
        <w:t>20</w:t>
      </w:r>
      <w:r w:rsidRPr="00DA060D">
        <w:rPr>
          <w:lang w:eastAsia="es-MX"/>
        </w:rPr>
        <w:t>:</w:t>
      </w:r>
      <w:r w:rsidR="0084475F">
        <w:rPr>
          <w:lang w:eastAsia="es-MX"/>
        </w:rPr>
        <w:t>00</w:t>
      </w:r>
      <w:r w:rsidRPr="00DA060D">
        <w:rPr>
          <w:lang w:eastAsia="es-MX"/>
        </w:rPr>
        <w:t xml:space="preserve"> horas</w:t>
      </w:r>
      <w:r w:rsidRPr="005D38F3">
        <w:rPr>
          <w:lang w:eastAsia="es-MX"/>
        </w:rPr>
        <w:t xml:space="preserve"> del </w:t>
      </w:r>
      <w:r w:rsidR="0084475F">
        <w:rPr>
          <w:lang w:eastAsia="es-MX"/>
        </w:rPr>
        <w:t>27</w:t>
      </w:r>
      <w:r w:rsidRPr="005D38F3">
        <w:rPr>
          <w:lang w:eastAsia="es-MX"/>
        </w:rPr>
        <w:t xml:space="preserve"> de </w:t>
      </w:r>
      <w:r w:rsidR="0084475F">
        <w:rPr>
          <w:lang w:eastAsia="es-MX"/>
        </w:rPr>
        <w:t>agosto</w:t>
      </w:r>
      <w:r w:rsidRPr="005D38F3">
        <w:rPr>
          <w:lang w:eastAsia="es-MX"/>
        </w:rPr>
        <w:t xml:space="preserve"> de 201</w:t>
      </w:r>
      <w:r>
        <w:rPr>
          <w:lang w:eastAsia="es-MX"/>
        </w:rPr>
        <w:t>9 y</w:t>
      </w:r>
      <w:r w:rsidRPr="005D38F3">
        <w:rPr>
          <w:lang w:eastAsia="es-MX"/>
        </w:rPr>
        <w:t xml:space="preserve"> se firma esta </w:t>
      </w:r>
      <w:r w:rsidR="00AB3922">
        <w:rPr>
          <w:lang w:eastAsia="es-MX"/>
        </w:rPr>
        <w:t>a</w:t>
      </w:r>
      <w:r w:rsidRPr="005D38F3">
        <w:rPr>
          <w:lang w:eastAsia="es-MX"/>
        </w:rPr>
        <w:t>cta.</w:t>
      </w:r>
    </w:p>
    <w:p w14:paraId="04F7E058" w14:textId="77777777" w:rsidR="0053349B" w:rsidRPr="0037366E" w:rsidRDefault="0053349B" w:rsidP="006F6F79">
      <w:pPr>
        <w:spacing w:line="240" w:lineRule="auto"/>
        <w:contextualSpacing/>
        <w:jc w:val="both"/>
        <w:rPr>
          <w:lang w:eastAsia="es-MX"/>
        </w:rPr>
      </w:pPr>
    </w:p>
    <w:tbl>
      <w:tblPr>
        <w:tblStyle w:val="Tablaconcuadrcula"/>
        <w:tblW w:w="5000" w:type="pct"/>
        <w:tblLook w:val="01A0" w:firstRow="1" w:lastRow="0" w:firstColumn="1" w:lastColumn="1" w:noHBand="0" w:noVBand="0"/>
      </w:tblPr>
      <w:tblGrid>
        <w:gridCol w:w="5241"/>
        <w:gridCol w:w="3870"/>
      </w:tblGrid>
      <w:tr w:rsidR="00925509" w:rsidRPr="0037366E" w14:paraId="022AE342" w14:textId="77777777" w:rsidTr="00AC342C">
        <w:tc>
          <w:tcPr>
            <w:tcW w:w="2876" w:type="pct"/>
            <w:shd w:val="clear" w:color="auto" w:fill="BDD6EE" w:themeFill="accent1" w:themeFillTint="66"/>
          </w:tcPr>
          <w:p w14:paraId="34663E0D" w14:textId="77777777"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14:paraId="51674766" w14:textId="77777777" w:rsidR="00925509" w:rsidRPr="0037366E" w:rsidRDefault="00925509" w:rsidP="00EE1187">
            <w:pPr>
              <w:contextualSpacing/>
              <w:jc w:val="center"/>
              <w:rPr>
                <w:b/>
              </w:rPr>
            </w:pPr>
            <w:r w:rsidRPr="0037366E">
              <w:rPr>
                <w:b/>
              </w:rPr>
              <w:t>Firma</w:t>
            </w:r>
          </w:p>
        </w:tc>
      </w:tr>
      <w:tr w:rsidR="00925509" w:rsidRPr="0037366E" w14:paraId="0648EBEE" w14:textId="77777777" w:rsidTr="00AC342C">
        <w:trPr>
          <w:trHeight w:val="748"/>
        </w:trPr>
        <w:tc>
          <w:tcPr>
            <w:tcW w:w="2876" w:type="pct"/>
          </w:tcPr>
          <w:p w14:paraId="425D0E3A" w14:textId="77777777" w:rsidR="00FD3933" w:rsidRPr="00AD69D1" w:rsidRDefault="00FD3933" w:rsidP="00EE1187">
            <w:pPr>
              <w:contextualSpacing/>
              <w:rPr>
                <w:sz w:val="20"/>
              </w:rPr>
            </w:pPr>
          </w:p>
          <w:p w14:paraId="06F7AA35" w14:textId="77777777" w:rsidR="00925509" w:rsidRPr="00AD69D1" w:rsidRDefault="005D38F3" w:rsidP="00FD3933">
            <w:pPr>
              <w:contextualSpacing/>
              <w:jc w:val="center"/>
              <w:rPr>
                <w:b/>
                <w:bCs/>
                <w:sz w:val="20"/>
              </w:rPr>
            </w:pPr>
            <w:r w:rsidRPr="00AD69D1">
              <w:rPr>
                <w:b/>
                <w:bCs/>
                <w:sz w:val="20"/>
              </w:rPr>
              <w:t>Freddy Mariñez Navarro</w:t>
            </w:r>
          </w:p>
          <w:p w14:paraId="66496348" w14:textId="77777777" w:rsidR="00CE1859" w:rsidRPr="00AD69D1" w:rsidRDefault="00E446F2" w:rsidP="00FD3933">
            <w:pPr>
              <w:contextualSpacing/>
              <w:jc w:val="center"/>
              <w:rPr>
                <w:sz w:val="20"/>
              </w:rPr>
            </w:pPr>
            <w:r w:rsidRPr="00AD69D1">
              <w:rPr>
                <w:sz w:val="20"/>
              </w:rPr>
              <w:t xml:space="preserve">Presidente del </w:t>
            </w:r>
            <w:r w:rsidR="00250A27" w:rsidRPr="00AD69D1">
              <w:rPr>
                <w:sz w:val="20"/>
              </w:rPr>
              <w:t>Órgano de Gobierno</w:t>
            </w:r>
          </w:p>
          <w:p w14:paraId="2872AB8E" w14:textId="77777777" w:rsidR="00FD3933" w:rsidRPr="00AD69D1" w:rsidRDefault="00FD3933" w:rsidP="008E7514">
            <w:pPr>
              <w:contextualSpacing/>
              <w:rPr>
                <w:sz w:val="20"/>
              </w:rPr>
            </w:pPr>
          </w:p>
        </w:tc>
        <w:tc>
          <w:tcPr>
            <w:tcW w:w="2124" w:type="pct"/>
          </w:tcPr>
          <w:p w14:paraId="522C3DBA" w14:textId="77777777" w:rsidR="00925509" w:rsidRPr="0037366E" w:rsidRDefault="00925509" w:rsidP="00EE1187">
            <w:pPr>
              <w:contextualSpacing/>
            </w:pPr>
            <w:bookmarkStart w:id="1" w:name="_GoBack"/>
            <w:bookmarkEnd w:id="1"/>
          </w:p>
        </w:tc>
      </w:tr>
      <w:tr w:rsidR="00925509" w:rsidRPr="0037366E" w14:paraId="5CBEC81D" w14:textId="77777777" w:rsidTr="00AC342C">
        <w:tc>
          <w:tcPr>
            <w:tcW w:w="2876" w:type="pct"/>
          </w:tcPr>
          <w:p w14:paraId="368FB765" w14:textId="77777777" w:rsidR="00FD3933" w:rsidRPr="00AD69D1" w:rsidRDefault="00FD3933" w:rsidP="00EE1187">
            <w:pPr>
              <w:contextualSpacing/>
              <w:rPr>
                <w:sz w:val="20"/>
              </w:rPr>
            </w:pPr>
          </w:p>
          <w:p w14:paraId="427B5E6E" w14:textId="77777777" w:rsidR="00925509" w:rsidRPr="00AD69D1" w:rsidRDefault="00925509" w:rsidP="00FD3933">
            <w:pPr>
              <w:contextualSpacing/>
              <w:jc w:val="center"/>
              <w:rPr>
                <w:b/>
                <w:bCs/>
                <w:sz w:val="20"/>
              </w:rPr>
            </w:pPr>
            <w:r w:rsidRPr="00AD69D1">
              <w:rPr>
                <w:b/>
                <w:bCs/>
                <w:sz w:val="20"/>
              </w:rPr>
              <w:t>J</w:t>
            </w:r>
            <w:r w:rsidR="001414A9" w:rsidRPr="00AD69D1">
              <w:rPr>
                <w:b/>
                <w:bCs/>
                <w:sz w:val="20"/>
              </w:rPr>
              <w:t>orge Alejandro Orti</w:t>
            </w:r>
            <w:r w:rsidRPr="00AD69D1">
              <w:rPr>
                <w:b/>
                <w:bCs/>
                <w:sz w:val="20"/>
              </w:rPr>
              <w:t>z Ramírez</w:t>
            </w:r>
          </w:p>
          <w:p w14:paraId="11E27968" w14:textId="77777777" w:rsidR="008E7514" w:rsidRPr="00AD69D1" w:rsidRDefault="00925509" w:rsidP="00FD3933">
            <w:pPr>
              <w:contextualSpacing/>
              <w:jc w:val="center"/>
              <w:rPr>
                <w:sz w:val="20"/>
              </w:rPr>
            </w:pPr>
            <w:r w:rsidRPr="00AD69D1">
              <w:rPr>
                <w:sz w:val="20"/>
              </w:rPr>
              <w:t>Auditor Superior del Estado</w:t>
            </w:r>
          </w:p>
          <w:p w14:paraId="38583D49" w14:textId="77777777" w:rsidR="00FD3933" w:rsidRPr="00AD69D1" w:rsidRDefault="00FD3933" w:rsidP="00EE1187">
            <w:pPr>
              <w:contextualSpacing/>
              <w:rPr>
                <w:sz w:val="20"/>
              </w:rPr>
            </w:pPr>
          </w:p>
        </w:tc>
        <w:tc>
          <w:tcPr>
            <w:tcW w:w="2124" w:type="pct"/>
          </w:tcPr>
          <w:p w14:paraId="2C33DD55" w14:textId="77777777" w:rsidR="00925509" w:rsidRPr="0037366E" w:rsidRDefault="00925509" w:rsidP="00EE1187">
            <w:pPr>
              <w:contextualSpacing/>
            </w:pPr>
          </w:p>
        </w:tc>
      </w:tr>
      <w:tr w:rsidR="00BD6D18" w:rsidRPr="0037366E" w14:paraId="09585F78" w14:textId="77777777" w:rsidTr="00AC342C">
        <w:tc>
          <w:tcPr>
            <w:tcW w:w="2876" w:type="pct"/>
          </w:tcPr>
          <w:p w14:paraId="2A0FF66D" w14:textId="77777777" w:rsidR="003255B4" w:rsidRPr="00AD69D1" w:rsidRDefault="003255B4" w:rsidP="003255B4">
            <w:pPr>
              <w:contextualSpacing/>
              <w:jc w:val="center"/>
              <w:rPr>
                <w:sz w:val="20"/>
              </w:rPr>
            </w:pPr>
          </w:p>
          <w:p w14:paraId="798064C7" w14:textId="37E6BDE6" w:rsidR="00BD6D18" w:rsidRPr="00AD69D1" w:rsidRDefault="00BD6D18" w:rsidP="003255B4">
            <w:pPr>
              <w:contextualSpacing/>
              <w:jc w:val="center"/>
              <w:rPr>
                <w:b/>
                <w:sz w:val="20"/>
              </w:rPr>
            </w:pPr>
            <w:r w:rsidRPr="00AD69D1">
              <w:rPr>
                <w:b/>
                <w:sz w:val="20"/>
              </w:rPr>
              <w:t xml:space="preserve">Gerardo Ignacio </w:t>
            </w:r>
            <w:r w:rsidR="00941FC4" w:rsidRPr="00AD69D1">
              <w:rPr>
                <w:b/>
                <w:sz w:val="20"/>
              </w:rPr>
              <w:t>de la Cruz Tovar</w:t>
            </w:r>
          </w:p>
          <w:p w14:paraId="1E03CAF9" w14:textId="77777777" w:rsidR="00941FC4" w:rsidRPr="00AD69D1" w:rsidRDefault="003255B4" w:rsidP="003255B4">
            <w:pPr>
              <w:contextualSpacing/>
              <w:jc w:val="center"/>
              <w:rPr>
                <w:sz w:val="20"/>
              </w:rPr>
            </w:pPr>
            <w:r w:rsidRPr="00AD69D1">
              <w:rPr>
                <w:sz w:val="20"/>
              </w:rPr>
              <w:t>Fiscal Especializado en Combate a la Corrupción</w:t>
            </w:r>
          </w:p>
          <w:p w14:paraId="42B9579F" w14:textId="416D6D38" w:rsidR="003255B4" w:rsidRPr="00AD69D1" w:rsidRDefault="003255B4" w:rsidP="003255B4">
            <w:pPr>
              <w:contextualSpacing/>
              <w:jc w:val="center"/>
              <w:rPr>
                <w:sz w:val="20"/>
              </w:rPr>
            </w:pPr>
          </w:p>
        </w:tc>
        <w:tc>
          <w:tcPr>
            <w:tcW w:w="2124" w:type="pct"/>
          </w:tcPr>
          <w:p w14:paraId="5B633E42" w14:textId="77777777" w:rsidR="00BD6D18" w:rsidRPr="0037366E" w:rsidRDefault="00BD6D18" w:rsidP="00EE1187">
            <w:pPr>
              <w:contextualSpacing/>
            </w:pPr>
          </w:p>
        </w:tc>
      </w:tr>
      <w:tr w:rsidR="008A42D2" w:rsidRPr="0037366E" w14:paraId="384BF090" w14:textId="77777777" w:rsidTr="00AC342C">
        <w:tc>
          <w:tcPr>
            <w:tcW w:w="2876" w:type="pct"/>
          </w:tcPr>
          <w:p w14:paraId="1E0FF041" w14:textId="77777777" w:rsidR="00FD3933" w:rsidRPr="00AD69D1" w:rsidRDefault="00FD3933" w:rsidP="008A42D2">
            <w:pPr>
              <w:contextualSpacing/>
              <w:rPr>
                <w:sz w:val="20"/>
              </w:rPr>
            </w:pPr>
          </w:p>
          <w:p w14:paraId="6480C0C8" w14:textId="77777777" w:rsidR="008A42D2" w:rsidRPr="00AD69D1" w:rsidRDefault="008A42D2" w:rsidP="00FD3933">
            <w:pPr>
              <w:contextualSpacing/>
              <w:jc w:val="center"/>
              <w:rPr>
                <w:b/>
                <w:bCs/>
                <w:sz w:val="20"/>
              </w:rPr>
            </w:pPr>
            <w:r w:rsidRPr="00AD69D1">
              <w:rPr>
                <w:b/>
                <w:bCs/>
                <w:sz w:val="20"/>
              </w:rPr>
              <w:t>María Teresa Brito Serrano</w:t>
            </w:r>
          </w:p>
          <w:p w14:paraId="3A70AA53" w14:textId="77777777" w:rsidR="008A42D2" w:rsidRPr="00AD69D1" w:rsidRDefault="008A42D2" w:rsidP="00FD3933">
            <w:pPr>
              <w:contextualSpacing/>
              <w:jc w:val="center"/>
              <w:rPr>
                <w:sz w:val="20"/>
              </w:rPr>
            </w:pPr>
            <w:r w:rsidRPr="00AD69D1">
              <w:rPr>
                <w:sz w:val="20"/>
              </w:rPr>
              <w:t>Contralora del Estado de Jalisco</w:t>
            </w:r>
          </w:p>
          <w:p w14:paraId="0F42FAB0" w14:textId="77777777" w:rsidR="00FD3933" w:rsidRPr="00AD69D1" w:rsidRDefault="00FD3933" w:rsidP="008A42D2">
            <w:pPr>
              <w:contextualSpacing/>
              <w:rPr>
                <w:sz w:val="20"/>
              </w:rPr>
            </w:pPr>
          </w:p>
        </w:tc>
        <w:tc>
          <w:tcPr>
            <w:tcW w:w="2124" w:type="pct"/>
          </w:tcPr>
          <w:p w14:paraId="1797DED3" w14:textId="77777777" w:rsidR="008A42D2" w:rsidRPr="0037366E" w:rsidRDefault="008A42D2" w:rsidP="00EE1187">
            <w:pPr>
              <w:contextualSpacing/>
            </w:pPr>
          </w:p>
        </w:tc>
      </w:tr>
      <w:tr w:rsidR="00925509" w:rsidRPr="0037366E" w14:paraId="0ACE43DF" w14:textId="77777777" w:rsidTr="00917112">
        <w:trPr>
          <w:trHeight w:val="850"/>
        </w:trPr>
        <w:tc>
          <w:tcPr>
            <w:tcW w:w="2876" w:type="pct"/>
          </w:tcPr>
          <w:p w14:paraId="545888B9" w14:textId="77777777" w:rsidR="00FD3933" w:rsidRPr="00AD69D1" w:rsidRDefault="00FD3933" w:rsidP="00EE1187">
            <w:pPr>
              <w:contextualSpacing/>
              <w:rPr>
                <w:sz w:val="20"/>
              </w:rPr>
            </w:pPr>
          </w:p>
          <w:p w14:paraId="6381F4D3" w14:textId="77777777" w:rsidR="00AC342C" w:rsidRPr="00AD69D1" w:rsidRDefault="00407AC5" w:rsidP="00FD3933">
            <w:pPr>
              <w:contextualSpacing/>
              <w:jc w:val="center"/>
              <w:rPr>
                <w:b/>
                <w:bCs/>
                <w:sz w:val="20"/>
              </w:rPr>
            </w:pPr>
            <w:r w:rsidRPr="00AD69D1">
              <w:rPr>
                <w:b/>
                <w:bCs/>
                <w:sz w:val="20"/>
              </w:rPr>
              <w:t>Ricardo Suro Esteves</w:t>
            </w:r>
          </w:p>
          <w:p w14:paraId="0B9A37C5" w14:textId="77777777" w:rsidR="00917112" w:rsidRPr="00AD69D1" w:rsidRDefault="00925509" w:rsidP="00FD3933">
            <w:pPr>
              <w:contextualSpacing/>
              <w:jc w:val="center"/>
              <w:rPr>
                <w:sz w:val="20"/>
              </w:rPr>
            </w:pPr>
            <w:r w:rsidRPr="00AD69D1">
              <w:rPr>
                <w:sz w:val="20"/>
              </w:rPr>
              <w:t>Presidente del Consejo de la Judicatura</w:t>
            </w:r>
          </w:p>
          <w:p w14:paraId="365A305F" w14:textId="77777777" w:rsidR="00FD3933" w:rsidRPr="00AD69D1" w:rsidRDefault="00FD3933" w:rsidP="00EE1187">
            <w:pPr>
              <w:contextualSpacing/>
              <w:rPr>
                <w:sz w:val="20"/>
              </w:rPr>
            </w:pPr>
          </w:p>
        </w:tc>
        <w:tc>
          <w:tcPr>
            <w:tcW w:w="2124" w:type="pct"/>
          </w:tcPr>
          <w:p w14:paraId="3CFE8201" w14:textId="77777777" w:rsidR="00925509" w:rsidRPr="0037366E" w:rsidRDefault="00925509" w:rsidP="00EE1187">
            <w:pPr>
              <w:contextualSpacing/>
            </w:pPr>
          </w:p>
        </w:tc>
      </w:tr>
      <w:tr w:rsidR="00925509" w:rsidRPr="0037366E" w14:paraId="767EC9D8" w14:textId="77777777" w:rsidTr="00AC342C">
        <w:tc>
          <w:tcPr>
            <w:tcW w:w="2876" w:type="pct"/>
          </w:tcPr>
          <w:p w14:paraId="260E7DE2" w14:textId="77777777" w:rsidR="00FD3933" w:rsidRPr="00AD69D1" w:rsidRDefault="00FD3933" w:rsidP="00FD3933">
            <w:pPr>
              <w:contextualSpacing/>
              <w:jc w:val="center"/>
              <w:rPr>
                <w:sz w:val="20"/>
              </w:rPr>
            </w:pPr>
          </w:p>
          <w:p w14:paraId="14FFFF9A" w14:textId="77777777" w:rsidR="00925509" w:rsidRPr="00AD69D1" w:rsidRDefault="00CB79F9" w:rsidP="00FD3933">
            <w:pPr>
              <w:contextualSpacing/>
              <w:jc w:val="center"/>
              <w:rPr>
                <w:b/>
                <w:bCs/>
                <w:sz w:val="20"/>
              </w:rPr>
            </w:pPr>
            <w:r w:rsidRPr="00AD69D1">
              <w:rPr>
                <w:b/>
                <w:bCs/>
                <w:sz w:val="20"/>
              </w:rPr>
              <w:t>Cynthia Patricia</w:t>
            </w:r>
            <w:r w:rsidR="00925509" w:rsidRPr="00AD69D1">
              <w:rPr>
                <w:b/>
                <w:bCs/>
                <w:sz w:val="20"/>
              </w:rPr>
              <w:t xml:space="preserve"> Cantero Pacheco</w:t>
            </w:r>
          </w:p>
          <w:p w14:paraId="3BFD68C6" w14:textId="77777777" w:rsidR="00925509" w:rsidRPr="00AD69D1" w:rsidRDefault="00925509" w:rsidP="00FD3933">
            <w:pPr>
              <w:contextualSpacing/>
              <w:jc w:val="center"/>
              <w:rPr>
                <w:sz w:val="20"/>
              </w:rPr>
            </w:pPr>
            <w:r w:rsidRPr="00AD69D1">
              <w:rPr>
                <w:sz w:val="20"/>
              </w:rPr>
              <w:t xml:space="preserve">Presidenta del Instituto de Transparencia, Información Pública y Protección de Datos Personales </w:t>
            </w:r>
            <w:r w:rsidR="00175E10" w:rsidRPr="00AD69D1">
              <w:rPr>
                <w:sz w:val="20"/>
              </w:rPr>
              <w:t xml:space="preserve">del Estado de Jalisco </w:t>
            </w:r>
            <w:r w:rsidR="00E70A42" w:rsidRPr="00AD69D1">
              <w:rPr>
                <w:sz w:val="20"/>
              </w:rPr>
              <w:t>(ITEI)</w:t>
            </w:r>
          </w:p>
          <w:p w14:paraId="03A945C1" w14:textId="77777777" w:rsidR="00FD3933" w:rsidRPr="00AD69D1" w:rsidRDefault="00FD3933" w:rsidP="00FD3933">
            <w:pPr>
              <w:contextualSpacing/>
              <w:jc w:val="center"/>
              <w:rPr>
                <w:sz w:val="20"/>
              </w:rPr>
            </w:pPr>
          </w:p>
        </w:tc>
        <w:tc>
          <w:tcPr>
            <w:tcW w:w="2124" w:type="pct"/>
          </w:tcPr>
          <w:p w14:paraId="0FE5BE14" w14:textId="77777777" w:rsidR="00925509" w:rsidRPr="0037366E" w:rsidRDefault="00925509" w:rsidP="00EE1187">
            <w:pPr>
              <w:contextualSpacing/>
            </w:pPr>
          </w:p>
          <w:p w14:paraId="7BB9CB3F" w14:textId="77777777" w:rsidR="00925509" w:rsidRPr="0037366E" w:rsidRDefault="00925509" w:rsidP="00EE1187">
            <w:pPr>
              <w:contextualSpacing/>
            </w:pPr>
          </w:p>
          <w:p w14:paraId="21B722C1" w14:textId="77777777" w:rsidR="00925509" w:rsidRPr="0037366E" w:rsidRDefault="00925509" w:rsidP="00EE1187">
            <w:pPr>
              <w:contextualSpacing/>
            </w:pPr>
          </w:p>
          <w:p w14:paraId="09BD0B20" w14:textId="77777777" w:rsidR="00925509" w:rsidRPr="0037366E" w:rsidRDefault="00925509" w:rsidP="00EE1187">
            <w:pPr>
              <w:contextualSpacing/>
            </w:pPr>
          </w:p>
          <w:p w14:paraId="34608944" w14:textId="77777777" w:rsidR="00925509" w:rsidRPr="0037366E" w:rsidRDefault="00925509" w:rsidP="00EE1187">
            <w:pPr>
              <w:contextualSpacing/>
            </w:pPr>
          </w:p>
        </w:tc>
      </w:tr>
      <w:tr w:rsidR="00B151FA" w:rsidRPr="0037366E" w14:paraId="64723005" w14:textId="77777777" w:rsidTr="00AC342C">
        <w:tc>
          <w:tcPr>
            <w:tcW w:w="2876" w:type="pct"/>
          </w:tcPr>
          <w:p w14:paraId="791262FE" w14:textId="77777777" w:rsidR="00FD3933" w:rsidRPr="00AD69D1" w:rsidRDefault="00FD3933" w:rsidP="00B151FA">
            <w:pPr>
              <w:contextualSpacing/>
              <w:rPr>
                <w:sz w:val="20"/>
              </w:rPr>
            </w:pPr>
          </w:p>
          <w:p w14:paraId="516CB078" w14:textId="77777777" w:rsidR="00B151FA" w:rsidRPr="00AD69D1" w:rsidRDefault="00B151FA" w:rsidP="00FD3933">
            <w:pPr>
              <w:contextualSpacing/>
              <w:jc w:val="center"/>
              <w:rPr>
                <w:b/>
                <w:bCs/>
                <w:sz w:val="20"/>
              </w:rPr>
            </w:pPr>
            <w:r w:rsidRPr="00AD69D1">
              <w:rPr>
                <w:b/>
                <w:bCs/>
                <w:sz w:val="20"/>
              </w:rPr>
              <w:t>José Ramón Jiménez Gutiérrez</w:t>
            </w:r>
          </w:p>
          <w:p w14:paraId="51BAD1B8" w14:textId="77777777" w:rsidR="00B151FA" w:rsidRPr="00AD69D1" w:rsidRDefault="00B151FA" w:rsidP="00FD3933">
            <w:pPr>
              <w:contextualSpacing/>
              <w:jc w:val="center"/>
              <w:rPr>
                <w:sz w:val="20"/>
              </w:rPr>
            </w:pPr>
            <w:r w:rsidRPr="00AD69D1">
              <w:rPr>
                <w:sz w:val="20"/>
              </w:rPr>
              <w:t>Presidente del Tribunal de Justicia Administrativa</w:t>
            </w:r>
          </w:p>
          <w:p w14:paraId="070C6FCA" w14:textId="77777777" w:rsidR="00FD3933" w:rsidRPr="00AD69D1" w:rsidRDefault="00FD3933" w:rsidP="00B151FA">
            <w:pPr>
              <w:contextualSpacing/>
              <w:rPr>
                <w:sz w:val="20"/>
              </w:rPr>
            </w:pPr>
          </w:p>
        </w:tc>
        <w:tc>
          <w:tcPr>
            <w:tcW w:w="2124" w:type="pct"/>
          </w:tcPr>
          <w:p w14:paraId="03295A19" w14:textId="77777777" w:rsidR="00B151FA" w:rsidRPr="0037366E" w:rsidRDefault="00B151FA" w:rsidP="00EE1187">
            <w:pPr>
              <w:contextualSpacing/>
            </w:pPr>
          </w:p>
        </w:tc>
      </w:tr>
      <w:tr w:rsidR="00925509" w:rsidRPr="0037366E" w14:paraId="461DAAA1" w14:textId="77777777" w:rsidTr="00AC342C">
        <w:trPr>
          <w:trHeight w:val="583"/>
        </w:trPr>
        <w:tc>
          <w:tcPr>
            <w:tcW w:w="2876" w:type="pct"/>
          </w:tcPr>
          <w:p w14:paraId="0BA91FD7" w14:textId="77777777" w:rsidR="00FD3933" w:rsidRPr="00AD69D1" w:rsidRDefault="00FD3933" w:rsidP="00EE1187">
            <w:pPr>
              <w:contextualSpacing/>
              <w:rPr>
                <w:b/>
                <w:bCs/>
                <w:sz w:val="20"/>
              </w:rPr>
            </w:pPr>
          </w:p>
          <w:p w14:paraId="7237346C" w14:textId="77777777" w:rsidR="00925509" w:rsidRPr="00AD69D1" w:rsidRDefault="00925509" w:rsidP="00FD3933">
            <w:pPr>
              <w:contextualSpacing/>
              <w:jc w:val="center"/>
              <w:rPr>
                <w:b/>
                <w:bCs/>
                <w:sz w:val="20"/>
              </w:rPr>
            </w:pPr>
            <w:proofErr w:type="spellStart"/>
            <w:r w:rsidRPr="00AD69D1">
              <w:rPr>
                <w:b/>
                <w:bCs/>
                <w:sz w:val="20"/>
              </w:rPr>
              <w:t>Haimé</w:t>
            </w:r>
            <w:proofErr w:type="spellEnd"/>
            <w:r w:rsidRPr="00AD69D1">
              <w:rPr>
                <w:b/>
                <w:bCs/>
                <w:sz w:val="20"/>
              </w:rPr>
              <w:t xml:space="preserve"> Figueroa Neri</w:t>
            </w:r>
          </w:p>
          <w:p w14:paraId="4AE311B7" w14:textId="77777777" w:rsidR="00925509" w:rsidRPr="00AD69D1" w:rsidRDefault="00925509" w:rsidP="00FD3933">
            <w:pPr>
              <w:contextualSpacing/>
              <w:jc w:val="center"/>
              <w:rPr>
                <w:sz w:val="20"/>
              </w:rPr>
            </w:pPr>
            <w:r w:rsidRPr="00AD69D1">
              <w:rPr>
                <w:sz w:val="20"/>
              </w:rPr>
              <w:t>Secretaria Técnica de la Secretaría Ejecutiva del Sistema Estatal Anticorrupción de Jalisco</w:t>
            </w:r>
          </w:p>
        </w:tc>
        <w:tc>
          <w:tcPr>
            <w:tcW w:w="2124" w:type="pct"/>
          </w:tcPr>
          <w:p w14:paraId="042B6456" w14:textId="77777777" w:rsidR="00925509" w:rsidRPr="0037366E" w:rsidRDefault="00925509" w:rsidP="00EE1187">
            <w:pPr>
              <w:contextualSpacing/>
            </w:pPr>
          </w:p>
          <w:p w14:paraId="0FB4FC54" w14:textId="77777777" w:rsidR="00BD30B3" w:rsidRPr="0037366E" w:rsidRDefault="00BD30B3" w:rsidP="00EE1187">
            <w:pPr>
              <w:contextualSpacing/>
            </w:pPr>
          </w:p>
          <w:p w14:paraId="2D40E820" w14:textId="77777777" w:rsidR="00BD30B3" w:rsidRPr="0037366E" w:rsidRDefault="00BD30B3" w:rsidP="00EE1187">
            <w:pPr>
              <w:contextualSpacing/>
            </w:pPr>
          </w:p>
          <w:p w14:paraId="2E15E3A6" w14:textId="77777777" w:rsidR="00BD30B3" w:rsidRPr="0037366E" w:rsidRDefault="00BD30B3" w:rsidP="00EE1187">
            <w:pPr>
              <w:contextualSpacing/>
            </w:pPr>
          </w:p>
          <w:p w14:paraId="18CB30D9" w14:textId="77777777" w:rsidR="00BD30B3" w:rsidRPr="0037366E" w:rsidRDefault="00BD30B3" w:rsidP="00EE1187">
            <w:pPr>
              <w:contextualSpacing/>
            </w:pPr>
          </w:p>
        </w:tc>
      </w:tr>
    </w:tbl>
    <w:p w14:paraId="7B27CC5C" w14:textId="77777777" w:rsidR="00CA17BA" w:rsidRPr="0037366E" w:rsidRDefault="00CA17BA" w:rsidP="007A45CE">
      <w:pPr>
        <w:spacing w:line="240" w:lineRule="auto"/>
        <w:contextualSpacing/>
        <w:jc w:val="both"/>
        <w:rPr>
          <w:lang w:eastAsia="es-MX"/>
        </w:rPr>
      </w:pPr>
    </w:p>
    <w:p w14:paraId="36C43405" w14:textId="62020FC5" w:rsidR="004453F1" w:rsidRPr="00A2391B" w:rsidRDefault="00041F04" w:rsidP="00A2391B">
      <w:pPr>
        <w:spacing w:line="240" w:lineRule="auto"/>
        <w:contextualSpacing/>
        <w:jc w:val="both"/>
        <w:rPr>
          <w:sz w:val="20"/>
          <w:lang w:eastAsia="es-MX"/>
        </w:rPr>
      </w:pPr>
      <w:r w:rsidRPr="00055AE7">
        <w:rPr>
          <w:sz w:val="20"/>
          <w:lang w:eastAsia="es-MX"/>
        </w:rPr>
        <w:lastRenderedPageBreak/>
        <w:t>Ú</w:t>
      </w:r>
      <w:r w:rsidR="006E3151" w:rsidRPr="00055AE7">
        <w:rPr>
          <w:sz w:val="20"/>
          <w:lang w:eastAsia="es-MX"/>
        </w:rPr>
        <w:t xml:space="preserve">ltima hoja del </w:t>
      </w:r>
      <w:r w:rsidR="00EA11B6">
        <w:rPr>
          <w:sz w:val="20"/>
          <w:lang w:eastAsia="es-MX"/>
        </w:rPr>
        <w:t>A</w:t>
      </w:r>
      <w:r w:rsidR="00250A27" w:rsidRPr="00055AE7">
        <w:rPr>
          <w:sz w:val="20"/>
          <w:lang w:eastAsia="es-MX"/>
        </w:rPr>
        <w:t xml:space="preserve">cta de la </w:t>
      </w:r>
      <w:r w:rsidR="005A6010">
        <w:rPr>
          <w:sz w:val="20"/>
          <w:lang w:eastAsia="es-MX"/>
        </w:rPr>
        <w:t>Tercera</w:t>
      </w:r>
      <w:r w:rsidR="009A780B" w:rsidRPr="00055AE7">
        <w:rPr>
          <w:sz w:val="20"/>
          <w:lang w:eastAsia="es-MX"/>
        </w:rPr>
        <w:t xml:space="preserve"> </w:t>
      </w:r>
      <w:r w:rsidR="008859BB">
        <w:rPr>
          <w:sz w:val="20"/>
          <w:lang w:eastAsia="es-MX"/>
        </w:rPr>
        <w:t>S</w:t>
      </w:r>
      <w:r w:rsidR="00C95450" w:rsidRPr="00055AE7">
        <w:rPr>
          <w:sz w:val="20"/>
          <w:lang w:eastAsia="es-MX"/>
        </w:rPr>
        <w:t>esión</w:t>
      </w:r>
      <w:r w:rsidR="005D38F3" w:rsidRPr="00055AE7">
        <w:rPr>
          <w:sz w:val="20"/>
          <w:lang w:eastAsia="es-MX"/>
        </w:rPr>
        <w:t xml:space="preserve"> </w:t>
      </w:r>
      <w:r w:rsidR="008859BB">
        <w:rPr>
          <w:sz w:val="20"/>
          <w:lang w:eastAsia="es-MX"/>
        </w:rPr>
        <w:t>O</w:t>
      </w:r>
      <w:r w:rsidR="009A780B" w:rsidRPr="00055AE7">
        <w:rPr>
          <w:sz w:val="20"/>
          <w:lang w:eastAsia="es-MX"/>
        </w:rPr>
        <w:t>rdinaria</w:t>
      </w:r>
      <w:r w:rsidR="006E3151" w:rsidRPr="00055AE7">
        <w:rPr>
          <w:sz w:val="20"/>
          <w:lang w:eastAsia="es-MX"/>
        </w:rPr>
        <w:t xml:space="preserve"> del Órgano de Gobierno de la Secretaría Ejecutiva del Sistema Estatal </w:t>
      </w:r>
      <w:r w:rsidR="00250A27" w:rsidRPr="00055AE7">
        <w:rPr>
          <w:sz w:val="20"/>
          <w:lang w:eastAsia="es-MX"/>
        </w:rPr>
        <w:t xml:space="preserve">Anticorrupción de Jalisco, </w:t>
      </w:r>
      <w:r w:rsidR="00AB3922">
        <w:rPr>
          <w:sz w:val="20"/>
          <w:lang w:eastAsia="es-MX"/>
        </w:rPr>
        <w:t>celebrada el</w:t>
      </w:r>
      <w:r w:rsidR="00250A27" w:rsidRPr="00055AE7">
        <w:rPr>
          <w:sz w:val="20"/>
          <w:lang w:eastAsia="es-MX"/>
        </w:rPr>
        <w:t xml:space="preserve"> </w:t>
      </w:r>
      <w:r w:rsidR="005A6010">
        <w:rPr>
          <w:sz w:val="20"/>
          <w:lang w:eastAsia="es-MX"/>
        </w:rPr>
        <w:t>27</w:t>
      </w:r>
      <w:r w:rsidR="00C95450" w:rsidRPr="00055AE7">
        <w:rPr>
          <w:sz w:val="20"/>
          <w:lang w:eastAsia="es-MX"/>
        </w:rPr>
        <w:t xml:space="preserve"> de </w:t>
      </w:r>
      <w:r w:rsidR="005A6010">
        <w:rPr>
          <w:sz w:val="20"/>
          <w:lang w:eastAsia="es-MX"/>
        </w:rPr>
        <w:t>agosto</w:t>
      </w:r>
      <w:r w:rsidR="007A45CE" w:rsidRPr="00055AE7">
        <w:rPr>
          <w:sz w:val="20"/>
          <w:lang w:eastAsia="es-MX"/>
        </w:rPr>
        <w:t xml:space="preserve"> </w:t>
      </w:r>
      <w:r w:rsidR="006E3151" w:rsidRPr="00055AE7">
        <w:rPr>
          <w:sz w:val="20"/>
          <w:lang w:eastAsia="es-MX"/>
        </w:rPr>
        <w:t>de</w:t>
      </w:r>
      <w:r w:rsidR="00290E4C">
        <w:rPr>
          <w:sz w:val="20"/>
          <w:lang w:eastAsia="es-MX"/>
        </w:rPr>
        <w:t>l</w:t>
      </w:r>
      <w:r w:rsidR="006E3151" w:rsidRPr="00055AE7">
        <w:rPr>
          <w:sz w:val="20"/>
          <w:lang w:eastAsia="es-MX"/>
        </w:rPr>
        <w:t xml:space="preserve"> 201</w:t>
      </w:r>
      <w:r w:rsidR="0016534C" w:rsidRPr="00055AE7">
        <w:rPr>
          <w:sz w:val="20"/>
          <w:lang w:eastAsia="es-MX"/>
        </w:rPr>
        <w:t>9</w:t>
      </w:r>
      <w:r w:rsidR="006E3151" w:rsidRPr="00055AE7">
        <w:rPr>
          <w:sz w:val="20"/>
          <w:lang w:eastAsia="es-MX"/>
        </w:rPr>
        <w:t>.</w:t>
      </w:r>
    </w:p>
    <w:p w14:paraId="66848500" w14:textId="77777777" w:rsidR="002E2010" w:rsidRDefault="002E2010" w:rsidP="00DB41D2">
      <w:pPr>
        <w:spacing w:line="240" w:lineRule="auto"/>
        <w:contextualSpacing/>
        <w:jc w:val="center"/>
        <w:rPr>
          <w:b/>
          <w:bCs/>
          <w:sz w:val="20"/>
          <w:lang w:eastAsia="es-MX"/>
        </w:rPr>
      </w:pPr>
    </w:p>
    <w:p w14:paraId="477EE43E" w14:textId="45B5FC1D" w:rsidR="00DB41D2" w:rsidRDefault="00DB41D2" w:rsidP="00DB41D2">
      <w:pPr>
        <w:spacing w:line="240" w:lineRule="auto"/>
        <w:contextualSpacing/>
        <w:jc w:val="center"/>
        <w:rPr>
          <w:b/>
          <w:bCs/>
          <w:sz w:val="20"/>
          <w:lang w:eastAsia="es-MX"/>
        </w:rPr>
      </w:pPr>
      <w:r w:rsidRPr="00DB41D2">
        <w:rPr>
          <w:b/>
          <w:bCs/>
          <w:sz w:val="20"/>
          <w:lang w:eastAsia="es-MX"/>
        </w:rPr>
        <w:t xml:space="preserve">Anexo 1: </w:t>
      </w:r>
      <w:r w:rsidR="002E2010">
        <w:rPr>
          <w:b/>
          <w:bCs/>
          <w:sz w:val="20"/>
          <w:lang w:eastAsia="es-MX"/>
        </w:rPr>
        <w:t>Transferencias</w:t>
      </w:r>
      <w:r w:rsidRPr="00DB41D2">
        <w:rPr>
          <w:b/>
          <w:bCs/>
          <w:sz w:val="20"/>
          <w:lang w:eastAsia="es-MX"/>
        </w:rPr>
        <w:t xml:space="preserve"> presupuestarias</w:t>
      </w:r>
    </w:p>
    <w:p w14:paraId="7195B1C9" w14:textId="7BCACAB3" w:rsidR="00C32E3D" w:rsidRDefault="00C32E3D" w:rsidP="00DB41D2">
      <w:pPr>
        <w:spacing w:line="240" w:lineRule="auto"/>
        <w:contextualSpacing/>
        <w:jc w:val="center"/>
        <w:rPr>
          <w:b/>
          <w:bCs/>
          <w:sz w:val="20"/>
          <w:lang w:eastAsia="es-MX"/>
        </w:rPr>
      </w:pPr>
      <w:r>
        <w:rPr>
          <w:b/>
          <w:bCs/>
          <w:sz w:val="20"/>
          <w:lang w:eastAsia="es-MX"/>
        </w:rPr>
        <w:t>Capítulo 2000 Materiales y suministros</w:t>
      </w:r>
    </w:p>
    <w:p w14:paraId="6A06ECBF" w14:textId="77777777" w:rsidR="00DB41D2" w:rsidRPr="00DB41D2" w:rsidRDefault="00DB41D2" w:rsidP="00DB41D2">
      <w:pPr>
        <w:spacing w:line="240" w:lineRule="auto"/>
        <w:contextualSpacing/>
        <w:jc w:val="center"/>
        <w:rPr>
          <w:b/>
          <w:bCs/>
          <w:sz w:val="20"/>
          <w:lang w:eastAsia="es-MX"/>
        </w:rPr>
      </w:pPr>
    </w:p>
    <w:p w14:paraId="26B54D81" w14:textId="3E9A567D" w:rsidR="00DB41D2" w:rsidRDefault="00DB41D2" w:rsidP="00DB41D2">
      <w:pPr>
        <w:spacing w:line="240" w:lineRule="auto"/>
        <w:ind w:left="-567"/>
        <w:contextualSpacing/>
        <w:jc w:val="center"/>
        <w:rPr>
          <w:sz w:val="20"/>
          <w:lang w:val="es-MX" w:eastAsia="es-MX"/>
        </w:rPr>
      </w:pPr>
    </w:p>
    <w:p w14:paraId="146B19D8" w14:textId="30984368" w:rsidR="00DB41D2" w:rsidRDefault="00C93DAC" w:rsidP="00EB5A8D">
      <w:pPr>
        <w:spacing w:line="240" w:lineRule="auto"/>
        <w:contextualSpacing/>
        <w:jc w:val="both"/>
        <w:rPr>
          <w:sz w:val="20"/>
          <w:lang w:val="es-MX" w:eastAsia="es-MX"/>
        </w:rPr>
      </w:pPr>
      <w:r w:rsidRPr="00C93DAC">
        <w:rPr>
          <w:noProof/>
        </w:rPr>
        <w:drawing>
          <wp:inline distT="0" distB="0" distL="0" distR="0" wp14:anchorId="2278118E" wp14:editId="23E79D25">
            <wp:extent cx="5791835" cy="1509395"/>
            <wp:effectExtent l="19050" t="19050" r="18415" b="146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835" cy="1509395"/>
                    </a:xfrm>
                    <a:prstGeom prst="rect">
                      <a:avLst/>
                    </a:prstGeom>
                    <a:noFill/>
                    <a:ln>
                      <a:solidFill>
                        <a:schemeClr val="tx1"/>
                      </a:solidFill>
                    </a:ln>
                  </pic:spPr>
                </pic:pic>
              </a:graphicData>
            </a:graphic>
          </wp:inline>
        </w:drawing>
      </w:r>
    </w:p>
    <w:p w14:paraId="79038A9E" w14:textId="57218B3D" w:rsidR="00A43489" w:rsidRDefault="00A43489" w:rsidP="00A43489">
      <w:pPr>
        <w:spacing w:line="240" w:lineRule="auto"/>
        <w:contextualSpacing/>
        <w:jc w:val="center"/>
        <w:rPr>
          <w:b/>
          <w:bCs/>
          <w:sz w:val="20"/>
          <w:lang w:eastAsia="es-MX"/>
        </w:rPr>
      </w:pPr>
      <w:r>
        <w:rPr>
          <w:b/>
          <w:bCs/>
          <w:sz w:val="20"/>
          <w:lang w:eastAsia="es-MX"/>
        </w:rPr>
        <w:t>Capítulo 3000 Servicios Generales</w:t>
      </w:r>
    </w:p>
    <w:p w14:paraId="01161DC1" w14:textId="48D7F5B8" w:rsidR="00A43489" w:rsidRPr="003D24AD" w:rsidRDefault="003D24AD" w:rsidP="003D24AD">
      <w:pPr>
        <w:spacing w:line="240" w:lineRule="auto"/>
        <w:contextualSpacing/>
        <w:jc w:val="center"/>
        <w:rPr>
          <w:b/>
          <w:bCs/>
          <w:sz w:val="20"/>
          <w:lang w:eastAsia="es-MX"/>
        </w:rPr>
      </w:pPr>
      <w:r w:rsidRPr="003D24AD">
        <w:rPr>
          <w:noProof/>
        </w:rPr>
        <w:drawing>
          <wp:inline distT="0" distB="0" distL="0" distR="0" wp14:anchorId="75A8904F" wp14:editId="055CDA9A">
            <wp:extent cx="5803849" cy="4436745"/>
            <wp:effectExtent l="19050" t="19050" r="26035" b="209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762" cy="4443558"/>
                    </a:xfrm>
                    <a:prstGeom prst="rect">
                      <a:avLst/>
                    </a:prstGeom>
                    <a:noFill/>
                    <a:ln>
                      <a:solidFill>
                        <a:schemeClr val="tx1"/>
                      </a:solidFill>
                    </a:ln>
                  </pic:spPr>
                </pic:pic>
              </a:graphicData>
            </a:graphic>
          </wp:inline>
        </w:drawing>
      </w:r>
    </w:p>
    <w:sectPr w:rsidR="00A43489" w:rsidRPr="003D24AD" w:rsidSect="002F1E31">
      <w:headerReference w:type="even" r:id="rId15"/>
      <w:headerReference w:type="default" r:id="rId16"/>
      <w:footerReference w:type="even" r:id="rId17"/>
      <w:footerReference w:type="default" r:id="rId18"/>
      <w:headerReference w:type="first" r:id="rId19"/>
      <w:footerReference w:type="first" r:id="rId20"/>
      <w:pgSz w:w="12240" w:h="15840"/>
      <w:pgMar w:top="583"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5DE7" w14:textId="77777777" w:rsidR="002F29A2" w:rsidRDefault="002F29A2" w:rsidP="005E10AD">
      <w:pPr>
        <w:spacing w:after="0" w:line="240" w:lineRule="auto"/>
      </w:pPr>
      <w:r>
        <w:separator/>
      </w:r>
    </w:p>
  </w:endnote>
  <w:endnote w:type="continuationSeparator" w:id="0">
    <w:p w14:paraId="7CFC39EE" w14:textId="77777777" w:rsidR="002F29A2" w:rsidRDefault="002F29A2" w:rsidP="005E10AD">
      <w:pPr>
        <w:spacing w:after="0" w:line="240" w:lineRule="auto"/>
      </w:pPr>
      <w:r>
        <w:continuationSeparator/>
      </w:r>
    </w:p>
  </w:endnote>
  <w:endnote w:type="continuationNotice" w:id="1">
    <w:p w14:paraId="1150CF69" w14:textId="77777777" w:rsidR="002F29A2" w:rsidRDefault="002F2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0032" w14:textId="77777777" w:rsidR="00C527C9" w:rsidRDefault="00C527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4036" w14:textId="77777777" w:rsidR="00C527C9" w:rsidRPr="00C80937" w:rsidRDefault="00C527C9">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p>
  <w:p w14:paraId="18AD319C" w14:textId="77777777" w:rsidR="00C527C9" w:rsidRDefault="00C527C9">
    <w:pPr>
      <w:pStyle w:val="Piedepgina"/>
    </w:pPr>
  </w:p>
  <w:p w14:paraId="4754FDEC" w14:textId="77777777" w:rsidR="00C527C9" w:rsidRDefault="00C527C9"/>
  <w:p w14:paraId="229E0ED1" w14:textId="77777777" w:rsidR="00C527C9" w:rsidRDefault="00C527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0380A943" w14:textId="77777777" w:rsidR="00C527C9" w:rsidRDefault="00C527C9">
        <w:pPr>
          <w:pStyle w:val="Piedepgina"/>
          <w:jc w:val="right"/>
        </w:pPr>
        <w:r>
          <w:fldChar w:fldCharType="begin"/>
        </w:r>
        <w:r>
          <w:instrText>PAGE   \* MERGEFORMAT</w:instrText>
        </w:r>
        <w:r>
          <w:fldChar w:fldCharType="separate"/>
        </w:r>
        <w:r w:rsidRPr="004471BB">
          <w:t>1</w:t>
        </w:r>
        <w:r>
          <w:fldChar w:fldCharType="end"/>
        </w:r>
      </w:p>
    </w:sdtContent>
  </w:sdt>
  <w:p w14:paraId="79EA2044" w14:textId="77777777" w:rsidR="00C527C9" w:rsidRDefault="00C527C9">
    <w:pPr>
      <w:pStyle w:val="Piedepgina"/>
    </w:pPr>
  </w:p>
  <w:p w14:paraId="25E4C1FF" w14:textId="77777777" w:rsidR="00C527C9" w:rsidRDefault="00C527C9"/>
  <w:p w14:paraId="53F31FB0" w14:textId="77777777" w:rsidR="00C527C9" w:rsidRDefault="00C52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2B19" w14:textId="77777777" w:rsidR="002F29A2" w:rsidRDefault="002F29A2" w:rsidP="005E10AD">
      <w:pPr>
        <w:spacing w:after="0" w:line="240" w:lineRule="auto"/>
      </w:pPr>
      <w:r>
        <w:separator/>
      </w:r>
    </w:p>
  </w:footnote>
  <w:footnote w:type="continuationSeparator" w:id="0">
    <w:p w14:paraId="5B3D12D1" w14:textId="77777777" w:rsidR="002F29A2" w:rsidRDefault="002F29A2" w:rsidP="005E10AD">
      <w:pPr>
        <w:spacing w:after="0" w:line="240" w:lineRule="auto"/>
      </w:pPr>
      <w:r>
        <w:continuationSeparator/>
      </w:r>
    </w:p>
  </w:footnote>
  <w:footnote w:type="continuationNotice" w:id="1">
    <w:p w14:paraId="30228E62" w14:textId="77777777" w:rsidR="002F29A2" w:rsidRDefault="002F2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9333" w14:textId="77777777" w:rsidR="00C527C9" w:rsidRDefault="00C527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8176" w14:textId="4AD93777" w:rsidR="00C527C9" w:rsidRPr="007F3D7D" w:rsidRDefault="00C527C9"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7216"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34016366" w14:textId="77777777" w:rsidR="00C527C9"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344F1686" w14:textId="77777777" w:rsidR="00C527C9" w:rsidRPr="00C80937"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591FDDAF" w14:textId="77777777" w:rsidR="00C527C9" w:rsidRPr="00C80937" w:rsidRDefault="00C527C9">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_x0000_s1027" type="#_x0000_t202" style="position:absolute;left:0;text-align:left;margin-left:-.55pt;margin-top:-5.35pt;width:185.9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34016366" w14:textId="77777777" w:rsidR="00C527C9"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344F1686" w14:textId="77777777" w:rsidR="00C527C9" w:rsidRPr="00C80937"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591FDDAF" w14:textId="77777777" w:rsidR="00C527C9" w:rsidRPr="00C80937" w:rsidRDefault="00C527C9">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Pr>
        <w:rFonts w:ascii="Segoe UI Semibold" w:hAnsi="Segoe UI Semibold" w:cs="Segoe UI Semibold"/>
        <w:smallCaps/>
        <w:sz w:val="18"/>
      </w:rPr>
      <w:t xml:space="preserve"> TERCERA SESIÓN 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14:paraId="36885598" w14:textId="77777777" w:rsidR="00C527C9" w:rsidRPr="007F3D7D" w:rsidRDefault="00C527C9"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14:paraId="27488BF3" w14:textId="77777777" w:rsidR="00C527C9" w:rsidRDefault="00C527C9"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14:paraId="252DBA0D" w14:textId="77777777" w:rsidR="00C527C9" w:rsidRPr="002F1E31" w:rsidRDefault="0049002B" w:rsidP="002F1E31">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5A743BB8">
        <v:rect id="_x0000_i1025" alt="" style="width:456.05pt;height:1.5pt;mso-width-percent:0;mso-height-percent:0;mso-width-percent:0;mso-height-percent:0" o:hralign="center" o:hrstd="t" o:hrnoshade="t" o:hr="t" fillcolor="#acb9ca [1311]" stroked="f"/>
      </w:pict>
    </w:r>
  </w:p>
  <w:p w14:paraId="6691CD28" w14:textId="77777777" w:rsidR="00C527C9" w:rsidRDefault="00C527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833C" w14:textId="77777777" w:rsidR="00C527C9" w:rsidRDefault="00C527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401B"/>
    <w:multiLevelType w:val="hybridMultilevel"/>
    <w:tmpl w:val="C240C5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DA041C6"/>
    <w:multiLevelType w:val="hybridMultilevel"/>
    <w:tmpl w:val="0AF6E04E"/>
    <w:lvl w:ilvl="0" w:tplc="CDB6338C">
      <w:numFmt w:val="bullet"/>
      <w:lvlText w:val=""/>
      <w:lvlJc w:val="left"/>
      <w:pPr>
        <w:ind w:left="825" w:hanging="361"/>
      </w:pPr>
      <w:rPr>
        <w:rFonts w:ascii="Symbol" w:eastAsia="Symbol" w:hAnsi="Symbol" w:cs="Symbol" w:hint="default"/>
        <w:w w:val="99"/>
        <w:sz w:val="19"/>
        <w:szCs w:val="19"/>
        <w:lang w:val="es-ES" w:eastAsia="es-ES" w:bidi="es-ES"/>
      </w:rPr>
    </w:lvl>
    <w:lvl w:ilvl="1" w:tplc="E626C8FE">
      <w:numFmt w:val="bullet"/>
      <w:lvlText w:val="•"/>
      <w:lvlJc w:val="left"/>
      <w:pPr>
        <w:ind w:left="1271" w:hanging="361"/>
      </w:pPr>
      <w:rPr>
        <w:rFonts w:hint="default"/>
        <w:lang w:val="es-ES" w:eastAsia="es-ES" w:bidi="es-ES"/>
      </w:rPr>
    </w:lvl>
    <w:lvl w:ilvl="2" w:tplc="7744E0FA">
      <w:numFmt w:val="bullet"/>
      <w:lvlText w:val="•"/>
      <w:lvlJc w:val="left"/>
      <w:pPr>
        <w:ind w:left="1722" w:hanging="361"/>
      </w:pPr>
      <w:rPr>
        <w:rFonts w:hint="default"/>
        <w:lang w:val="es-ES" w:eastAsia="es-ES" w:bidi="es-ES"/>
      </w:rPr>
    </w:lvl>
    <w:lvl w:ilvl="3" w:tplc="5D9C9B32">
      <w:numFmt w:val="bullet"/>
      <w:lvlText w:val="•"/>
      <w:lvlJc w:val="left"/>
      <w:pPr>
        <w:ind w:left="2173" w:hanging="361"/>
      </w:pPr>
      <w:rPr>
        <w:rFonts w:hint="default"/>
        <w:lang w:val="es-ES" w:eastAsia="es-ES" w:bidi="es-ES"/>
      </w:rPr>
    </w:lvl>
    <w:lvl w:ilvl="4" w:tplc="38B84688">
      <w:numFmt w:val="bullet"/>
      <w:lvlText w:val="•"/>
      <w:lvlJc w:val="left"/>
      <w:pPr>
        <w:ind w:left="2624" w:hanging="361"/>
      </w:pPr>
      <w:rPr>
        <w:rFonts w:hint="default"/>
        <w:lang w:val="es-ES" w:eastAsia="es-ES" w:bidi="es-ES"/>
      </w:rPr>
    </w:lvl>
    <w:lvl w:ilvl="5" w:tplc="5C60367A">
      <w:numFmt w:val="bullet"/>
      <w:lvlText w:val="•"/>
      <w:lvlJc w:val="left"/>
      <w:pPr>
        <w:ind w:left="3076" w:hanging="361"/>
      </w:pPr>
      <w:rPr>
        <w:rFonts w:hint="default"/>
        <w:lang w:val="es-ES" w:eastAsia="es-ES" w:bidi="es-ES"/>
      </w:rPr>
    </w:lvl>
    <w:lvl w:ilvl="6" w:tplc="45448DE0">
      <w:numFmt w:val="bullet"/>
      <w:lvlText w:val="•"/>
      <w:lvlJc w:val="left"/>
      <w:pPr>
        <w:ind w:left="3527" w:hanging="361"/>
      </w:pPr>
      <w:rPr>
        <w:rFonts w:hint="default"/>
        <w:lang w:val="es-ES" w:eastAsia="es-ES" w:bidi="es-ES"/>
      </w:rPr>
    </w:lvl>
    <w:lvl w:ilvl="7" w:tplc="39141C72">
      <w:numFmt w:val="bullet"/>
      <w:lvlText w:val="•"/>
      <w:lvlJc w:val="left"/>
      <w:pPr>
        <w:ind w:left="3978" w:hanging="361"/>
      </w:pPr>
      <w:rPr>
        <w:rFonts w:hint="default"/>
        <w:lang w:val="es-ES" w:eastAsia="es-ES" w:bidi="es-ES"/>
      </w:rPr>
    </w:lvl>
    <w:lvl w:ilvl="8" w:tplc="9FCE2A86">
      <w:numFmt w:val="bullet"/>
      <w:lvlText w:val="•"/>
      <w:lvlJc w:val="left"/>
      <w:pPr>
        <w:ind w:left="4429" w:hanging="361"/>
      </w:pPr>
      <w:rPr>
        <w:rFonts w:hint="default"/>
        <w:lang w:val="es-ES" w:eastAsia="es-ES" w:bidi="es-ES"/>
      </w:rPr>
    </w:lvl>
  </w:abstractNum>
  <w:abstractNum w:abstractNumId="2"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B3E748C"/>
    <w:multiLevelType w:val="hybridMultilevel"/>
    <w:tmpl w:val="C1627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2C7BA3"/>
    <w:multiLevelType w:val="hybridMultilevel"/>
    <w:tmpl w:val="BD2602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5533AFF"/>
    <w:multiLevelType w:val="hybridMultilevel"/>
    <w:tmpl w:val="040ED0A6"/>
    <w:lvl w:ilvl="0" w:tplc="040A000F">
      <w:start w:val="1"/>
      <w:numFmt w:val="decimal"/>
      <w:lvlText w:val="%1."/>
      <w:lvlJc w:val="left"/>
      <w:pPr>
        <w:ind w:left="1919"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2451"/>
    <w:rsid w:val="000024D3"/>
    <w:rsid w:val="00004275"/>
    <w:rsid w:val="00004770"/>
    <w:rsid w:val="00005A7B"/>
    <w:rsid w:val="00006646"/>
    <w:rsid w:val="000072A2"/>
    <w:rsid w:val="000106CD"/>
    <w:rsid w:val="00010A76"/>
    <w:rsid w:val="00011AF8"/>
    <w:rsid w:val="000124A8"/>
    <w:rsid w:val="0001304A"/>
    <w:rsid w:val="00014538"/>
    <w:rsid w:val="00014824"/>
    <w:rsid w:val="00014A97"/>
    <w:rsid w:val="0001718A"/>
    <w:rsid w:val="000172DF"/>
    <w:rsid w:val="00020146"/>
    <w:rsid w:val="00021E88"/>
    <w:rsid w:val="00022AF2"/>
    <w:rsid w:val="00022B78"/>
    <w:rsid w:val="00022D07"/>
    <w:rsid w:val="00023F02"/>
    <w:rsid w:val="00024C4A"/>
    <w:rsid w:val="000258A8"/>
    <w:rsid w:val="00027373"/>
    <w:rsid w:val="00032CE1"/>
    <w:rsid w:val="000333DA"/>
    <w:rsid w:val="00033FB6"/>
    <w:rsid w:val="00035263"/>
    <w:rsid w:val="0003570F"/>
    <w:rsid w:val="00036BBE"/>
    <w:rsid w:val="00041EF8"/>
    <w:rsid w:val="00041F04"/>
    <w:rsid w:val="00043299"/>
    <w:rsid w:val="00043B6E"/>
    <w:rsid w:val="00044774"/>
    <w:rsid w:val="00045794"/>
    <w:rsid w:val="00045E22"/>
    <w:rsid w:val="00046B68"/>
    <w:rsid w:val="0004732A"/>
    <w:rsid w:val="00051B7D"/>
    <w:rsid w:val="000522DD"/>
    <w:rsid w:val="00052A04"/>
    <w:rsid w:val="00053633"/>
    <w:rsid w:val="00054303"/>
    <w:rsid w:val="00054A96"/>
    <w:rsid w:val="00055187"/>
    <w:rsid w:val="00055734"/>
    <w:rsid w:val="00055AE7"/>
    <w:rsid w:val="000569CC"/>
    <w:rsid w:val="000574E0"/>
    <w:rsid w:val="00060232"/>
    <w:rsid w:val="000608D2"/>
    <w:rsid w:val="0006116F"/>
    <w:rsid w:val="000618FA"/>
    <w:rsid w:val="00062765"/>
    <w:rsid w:val="00062864"/>
    <w:rsid w:val="00063208"/>
    <w:rsid w:val="00063904"/>
    <w:rsid w:val="000641AB"/>
    <w:rsid w:val="000723BD"/>
    <w:rsid w:val="00073A5F"/>
    <w:rsid w:val="00073BD7"/>
    <w:rsid w:val="00073C06"/>
    <w:rsid w:val="0007465B"/>
    <w:rsid w:val="00074BF3"/>
    <w:rsid w:val="000759E5"/>
    <w:rsid w:val="00075F93"/>
    <w:rsid w:val="00076229"/>
    <w:rsid w:val="00076435"/>
    <w:rsid w:val="00077725"/>
    <w:rsid w:val="00077C7C"/>
    <w:rsid w:val="000803F6"/>
    <w:rsid w:val="00082E31"/>
    <w:rsid w:val="00085618"/>
    <w:rsid w:val="000863CD"/>
    <w:rsid w:val="00090986"/>
    <w:rsid w:val="00091AB1"/>
    <w:rsid w:val="00092D07"/>
    <w:rsid w:val="00093FD1"/>
    <w:rsid w:val="00094095"/>
    <w:rsid w:val="000941AC"/>
    <w:rsid w:val="00094F6E"/>
    <w:rsid w:val="00095CA1"/>
    <w:rsid w:val="000968A0"/>
    <w:rsid w:val="00096ACE"/>
    <w:rsid w:val="000971B1"/>
    <w:rsid w:val="00097311"/>
    <w:rsid w:val="000973FA"/>
    <w:rsid w:val="000A132E"/>
    <w:rsid w:val="000A1AFD"/>
    <w:rsid w:val="000A3E8F"/>
    <w:rsid w:val="000A436B"/>
    <w:rsid w:val="000A44D8"/>
    <w:rsid w:val="000A4AEB"/>
    <w:rsid w:val="000A6883"/>
    <w:rsid w:val="000A7A06"/>
    <w:rsid w:val="000B048B"/>
    <w:rsid w:val="000B15CE"/>
    <w:rsid w:val="000B2196"/>
    <w:rsid w:val="000B219C"/>
    <w:rsid w:val="000B2224"/>
    <w:rsid w:val="000B24E8"/>
    <w:rsid w:val="000B278B"/>
    <w:rsid w:val="000B42DD"/>
    <w:rsid w:val="000B4E24"/>
    <w:rsid w:val="000B5002"/>
    <w:rsid w:val="000B6DC8"/>
    <w:rsid w:val="000C1B69"/>
    <w:rsid w:val="000C20B1"/>
    <w:rsid w:val="000C2696"/>
    <w:rsid w:val="000C28B2"/>
    <w:rsid w:val="000C3ACC"/>
    <w:rsid w:val="000C44B5"/>
    <w:rsid w:val="000C5BAF"/>
    <w:rsid w:val="000C692E"/>
    <w:rsid w:val="000C7C94"/>
    <w:rsid w:val="000D03F9"/>
    <w:rsid w:val="000D0AD1"/>
    <w:rsid w:val="000D4239"/>
    <w:rsid w:val="000D5852"/>
    <w:rsid w:val="000D598D"/>
    <w:rsid w:val="000D59DA"/>
    <w:rsid w:val="000D6C4A"/>
    <w:rsid w:val="000D79B3"/>
    <w:rsid w:val="000E0794"/>
    <w:rsid w:val="000E0BEE"/>
    <w:rsid w:val="000E174D"/>
    <w:rsid w:val="000E1850"/>
    <w:rsid w:val="000E1F01"/>
    <w:rsid w:val="000E2006"/>
    <w:rsid w:val="000E2AD0"/>
    <w:rsid w:val="000E3458"/>
    <w:rsid w:val="000E4924"/>
    <w:rsid w:val="000E5690"/>
    <w:rsid w:val="000E6C2D"/>
    <w:rsid w:val="000E73F3"/>
    <w:rsid w:val="000F030F"/>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62BE"/>
    <w:rsid w:val="001077A9"/>
    <w:rsid w:val="00110778"/>
    <w:rsid w:val="001109F1"/>
    <w:rsid w:val="00111334"/>
    <w:rsid w:val="00112BDE"/>
    <w:rsid w:val="00113010"/>
    <w:rsid w:val="00115612"/>
    <w:rsid w:val="00116798"/>
    <w:rsid w:val="001171F1"/>
    <w:rsid w:val="001207B0"/>
    <w:rsid w:val="00121E5C"/>
    <w:rsid w:val="001225D2"/>
    <w:rsid w:val="00122B83"/>
    <w:rsid w:val="00123727"/>
    <w:rsid w:val="00123CF2"/>
    <w:rsid w:val="00124371"/>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4CF9"/>
    <w:rsid w:val="001355C8"/>
    <w:rsid w:val="00135EBD"/>
    <w:rsid w:val="001368A9"/>
    <w:rsid w:val="001369B3"/>
    <w:rsid w:val="00136E46"/>
    <w:rsid w:val="00137BA2"/>
    <w:rsid w:val="00137CC0"/>
    <w:rsid w:val="00140290"/>
    <w:rsid w:val="001414A9"/>
    <w:rsid w:val="001419B3"/>
    <w:rsid w:val="00142D80"/>
    <w:rsid w:val="00142ECC"/>
    <w:rsid w:val="00143C6C"/>
    <w:rsid w:val="00144199"/>
    <w:rsid w:val="00144BD6"/>
    <w:rsid w:val="00145A99"/>
    <w:rsid w:val="00146A51"/>
    <w:rsid w:val="001470E7"/>
    <w:rsid w:val="00147221"/>
    <w:rsid w:val="00150B05"/>
    <w:rsid w:val="0015147C"/>
    <w:rsid w:val="00152973"/>
    <w:rsid w:val="001536E8"/>
    <w:rsid w:val="00154C39"/>
    <w:rsid w:val="00154DFF"/>
    <w:rsid w:val="001561AE"/>
    <w:rsid w:val="00160F1F"/>
    <w:rsid w:val="0016164C"/>
    <w:rsid w:val="001623E0"/>
    <w:rsid w:val="001626E3"/>
    <w:rsid w:val="00163235"/>
    <w:rsid w:val="001644F5"/>
    <w:rsid w:val="00164C79"/>
    <w:rsid w:val="001650FC"/>
    <w:rsid w:val="0016513F"/>
    <w:rsid w:val="0016534C"/>
    <w:rsid w:val="00165367"/>
    <w:rsid w:val="00165A3E"/>
    <w:rsid w:val="001662EF"/>
    <w:rsid w:val="00167035"/>
    <w:rsid w:val="00167852"/>
    <w:rsid w:val="001707C6"/>
    <w:rsid w:val="001708CB"/>
    <w:rsid w:val="001710D3"/>
    <w:rsid w:val="001722C5"/>
    <w:rsid w:val="00172F32"/>
    <w:rsid w:val="001735C6"/>
    <w:rsid w:val="0017437C"/>
    <w:rsid w:val="001743A4"/>
    <w:rsid w:val="00174F56"/>
    <w:rsid w:val="0017530A"/>
    <w:rsid w:val="0017562B"/>
    <w:rsid w:val="00175BD1"/>
    <w:rsid w:val="00175E10"/>
    <w:rsid w:val="00176437"/>
    <w:rsid w:val="00176B87"/>
    <w:rsid w:val="00177DAA"/>
    <w:rsid w:val="00177F7A"/>
    <w:rsid w:val="00180440"/>
    <w:rsid w:val="001835E0"/>
    <w:rsid w:val="0018541A"/>
    <w:rsid w:val="001859B2"/>
    <w:rsid w:val="00185B97"/>
    <w:rsid w:val="001866B6"/>
    <w:rsid w:val="00190451"/>
    <w:rsid w:val="00190550"/>
    <w:rsid w:val="001927B6"/>
    <w:rsid w:val="00194D57"/>
    <w:rsid w:val="001955E0"/>
    <w:rsid w:val="00195A1D"/>
    <w:rsid w:val="00195F21"/>
    <w:rsid w:val="001965E0"/>
    <w:rsid w:val="00196DBB"/>
    <w:rsid w:val="001A0197"/>
    <w:rsid w:val="001A0B1F"/>
    <w:rsid w:val="001A1D8C"/>
    <w:rsid w:val="001A1E5C"/>
    <w:rsid w:val="001A20FA"/>
    <w:rsid w:val="001A2FEE"/>
    <w:rsid w:val="001A38AE"/>
    <w:rsid w:val="001A4D7D"/>
    <w:rsid w:val="001B0721"/>
    <w:rsid w:val="001B0B16"/>
    <w:rsid w:val="001B20E8"/>
    <w:rsid w:val="001B23FE"/>
    <w:rsid w:val="001B2F83"/>
    <w:rsid w:val="001B35E4"/>
    <w:rsid w:val="001B3D24"/>
    <w:rsid w:val="001B3F3C"/>
    <w:rsid w:val="001B4A51"/>
    <w:rsid w:val="001B548E"/>
    <w:rsid w:val="001B673A"/>
    <w:rsid w:val="001B7485"/>
    <w:rsid w:val="001B78AA"/>
    <w:rsid w:val="001C1E60"/>
    <w:rsid w:val="001C2632"/>
    <w:rsid w:val="001C289B"/>
    <w:rsid w:val="001C299E"/>
    <w:rsid w:val="001C30E6"/>
    <w:rsid w:val="001C43FE"/>
    <w:rsid w:val="001C7DC9"/>
    <w:rsid w:val="001C7FBB"/>
    <w:rsid w:val="001D2783"/>
    <w:rsid w:val="001D2CE3"/>
    <w:rsid w:val="001D7F8B"/>
    <w:rsid w:val="001E01B8"/>
    <w:rsid w:val="001E1BBC"/>
    <w:rsid w:val="001E2F37"/>
    <w:rsid w:val="001E3B5D"/>
    <w:rsid w:val="001E4E0C"/>
    <w:rsid w:val="001E681B"/>
    <w:rsid w:val="001F2BC9"/>
    <w:rsid w:val="001F2DD5"/>
    <w:rsid w:val="001F306D"/>
    <w:rsid w:val="001F3749"/>
    <w:rsid w:val="001F3E1F"/>
    <w:rsid w:val="001F42AE"/>
    <w:rsid w:val="001F5906"/>
    <w:rsid w:val="001F5EDD"/>
    <w:rsid w:val="001F6D18"/>
    <w:rsid w:val="001F739D"/>
    <w:rsid w:val="002001C8"/>
    <w:rsid w:val="0020160B"/>
    <w:rsid w:val="00202486"/>
    <w:rsid w:val="00203A20"/>
    <w:rsid w:val="002051AC"/>
    <w:rsid w:val="00205E9F"/>
    <w:rsid w:val="00206783"/>
    <w:rsid w:val="002069A6"/>
    <w:rsid w:val="00207930"/>
    <w:rsid w:val="0021047E"/>
    <w:rsid w:val="00210AE6"/>
    <w:rsid w:val="00210D87"/>
    <w:rsid w:val="00210E9A"/>
    <w:rsid w:val="0021181F"/>
    <w:rsid w:val="002120CE"/>
    <w:rsid w:val="00212F04"/>
    <w:rsid w:val="00213359"/>
    <w:rsid w:val="00213D97"/>
    <w:rsid w:val="00214DDE"/>
    <w:rsid w:val="00215E6C"/>
    <w:rsid w:val="00216ECC"/>
    <w:rsid w:val="00216FD3"/>
    <w:rsid w:val="00217399"/>
    <w:rsid w:val="0021F5DA"/>
    <w:rsid w:val="0022101C"/>
    <w:rsid w:val="002215B0"/>
    <w:rsid w:val="00221897"/>
    <w:rsid w:val="00221C16"/>
    <w:rsid w:val="00221D3B"/>
    <w:rsid w:val="002229CC"/>
    <w:rsid w:val="00222A74"/>
    <w:rsid w:val="00222B35"/>
    <w:rsid w:val="00222B55"/>
    <w:rsid w:val="0022381C"/>
    <w:rsid w:val="002238FF"/>
    <w:rsid w:val="00223E1D"/>
    <w:rsid w:val="0022478D"/>
    <w:rsid w:val="002247A7"/>
    <w:rsid w:val="00226C00"/>
    <w:rsid w:val="002272A7"/>
    <w:rsid w:val="002272B7"/>
    <w:rsid w:val="00227564"/>
    <w:rsid w:val="00230D90"/>
    <w:rsid w:val="00230EE6"/>
    <w:rsid w:val="002310CC"/>
    <w:rsid w:val="0023222F"/>
    <w:rsid w:val="002335B4"/>
    <w:rsid w:val="0023476C"/>
    <w:rsid w:val="0023513E"/>
    <w:rsid w:val="00236238"/>
    <w:rsid w:val="002362FE"/>
    <w:rsid w:val="00236FBA"/>
    <w:rsid w:val="00237B09"/>
    <w:rsid w:val="00240351"/>
    <w:rsid w:val="0024074F"/>
    <w:rsid w:val="00241C83"/>
    <w:rsid w:val="00242944"/>
    <w:rsid w:val="00243CD3"/>
    <w:rsid w:val="00245C10"/>
    <w:rsid w:val="002473BD"/>
    <w:rsid w:val="002474B1"/>
    <w:rsid w:val="0024757D"/>
    <w:rsid w:val="00250A27"/>
    <w:rsid w:val="00251615"/>
    <w:rsid w:val="00251828"/>
    <w:rsid w:val="00252030"/>
    <w:rsid w:val="0025231B"/>
    <w:rsid w:val="002524D6"/>
    <w:rsid w:val="00252ACA"/>
    <w:rsid w:val="00252E83"/>
    <w:rsid w:val="00253466"/>
    <w:rsid w:val="00255370"/>
    <w:rsid w:val="00255625"/>
    <w:rsid w:val="00256167"/>
    <w:rsid w:val="002563B9"/>
    <w:rsid w:val="00257DA7"/>
    <w:rsid w:val="002640BF"/>
    <w:rsid w:val="00264827"/>
    <w:rsid w:val="00265006"/>
    <w:rsid w:val="002652EF"/>
    <w:rsid w:val="00266313"/>
    <w:rsid w:val="00267805"/>
    <w:rsid w:val="002679DB"/>
    <w:rsid w:val="002709C2"/>
    <w:rsid w:val="00272EE8"/>
    <w:rsid w:val="00273390"/>
    <w:rsid w:val="0027381F"/>
    <w:rsid w:val="002757FF"/>
    <w:rsid w:val="00276160"/>
    <w:rsid w:val="00276902"/>
    <w:rsid w:val="002776A3"/>
    <w:rsid w:val="00277CA2"/>
    <w:rsid w:val="0027F9FF"/>
    <w:rsid w:val="00281012"/>
    <w:rsid w:val="00281834"/>
    <w:rsid w:val="00282DE2"/>
    <w:rsid w:val="00284EE4"/>
    <w:rsid w:val="00284F80"/>
    <w:rsid w:val="0028585E"/>
    <w:rsid w:val="00286164"/>
    <w:rsid w:val="0028625A"/>
    <w:rsid w:val="00286723"/>
    <w:rsid w:val="0028695C"/>
    <w:rsid w:val="0028701D"/>
    <w:rsid w:val="002872B7"/>
    <w:rsid w:val="00287786"/>
    <w:rsid w:val="002904C5"/>
    <w:rsid w:val="00290E4C"/>
    <w:rsid w:val="00290FF1"/>
    <w:rsid w:val="0029223D"/>
    <w:rsid w:val="00292AC2"/>
    <w:rsid w:val="00292FAF"/>
    <w:rsid w:val="00293BBA"/>
    <w:rsid w:val="002959FB"/>
    <w:rsid w:val="00296B3F"/>
    <w:rsid w:val="002A013A"/>
    <w:rsid w:val="002A0268"/>
    <w:rsid w:val="002A4902"/>
    <w:rsid w:val="002A5344"/>
    <w:rsid w:val="002A5C06"/>
    <w:rsid w:val="002A5CE5"/>
    <w:rsid w:val="002A5E30"/>
    <w:rsid w:val="002A6712"/>
    <w:rsid w:val="002A77C9"/>
    <w:rsid w:val="002A7912"/>
    <w:rsid w:val="002B006E"/>
    <w:rsid w:val="002B0B50"/>
    <w:rsid w:val="002B0EE1"/>
    <w:rsid w:val="002B24EB"/>
    <w:rsid w:val="002B2699"/>
    <w:rsid w:val="002B2878"/>
    <w:rsid w:val="002B3634"/>
    <w:rsid w:val="002B3BB2"/>
    <w:rsid w:val="002B47A9"/>
    <w:rsid w:val="002B4C94"/>
    <w:rsid w:val="002B5190"/>
    <w:rsid w:val="002B5580"/>
    <w:rsid w:val="002C03C2"/>
    <w:rsid w:val="002C0426"/>
    <w:rsid w:val="002C1D6C"/>
    <w:rsid w:val="002C2BD6"/>
    <w:rsid w:val="002C2FF1"/>
    <w:rsid w:val="002C4332"/>
    <w:rsid w:val="002C4456"/>
    <w:rsid w:val="002C4598"/>
    <w:rsid w:val="002C4FE6"/>
    <w:rsid w:val="002C54E1"/>
    <w:rsid w:val="002C5E7D"/>
    <w:rsid w:val="002C5E96"/>
    <w:rsid w:val="002C7F7F"/>
    <w:rsid w:val="002D0D03"/>
    <w:rsid w:val="002D24C1"/>
    <w:rsid w:val="002D3825"/>
    <w:rsid w:val="002D3AFB"/>
    <w:rsid w:val="002D4926"/>
    <w:rsid w:val="002D547B"/>
    <w:rsid w:val="002D5BFB"/>
    <w:rsid w:val="002E02A0"/>
    <w:rsid w:val="002E1048"/>
    <w:rsid w:val="002E1C8B"/>
    <w:rsid w:val="002E1F1C"/>
    <w:rsid w:val="002E2010"/>
    <w:rsid w:val="002E272B"/>
    <w:rsid w:val="002E2E4B"/>
    <w:rsid w:val="002E31FD"/>
    <w:rsid w:val="002E3371"/>
    <w:rsid w:val="002E3421"/>
    <w:rsid w:val="002E3541"/>
    <w:rsid w:val="002E37E1"/>
    <w:rsid w:val="002E4169"/>
    <w:rsid w:val="002E4C20"/>
    <w:rsid w:val="002E5009"/>
    <w:rsid w:val="002E57CB"/>
    <w:rsid w:val="002E5D48"/>
    <w:rsid w:val="002E67EB"/>
    <w:rsid w:val="002E73D6"/>
    <w:rsid w:val="002E7557"/>
    <w:rsid w:val="002E7BA4"/>
    <w:rsid w:val="002F09D1"/>
    <w:rsid w:val="002F1E31"/>
    <w:rsid w:val="002F29A2"/>
    <w:rsid w:val="002F5F3A"/>
    <w:rsid w:val="002F713A"/>
    <w:rsid w:val="003019E4"/>
    <w:rsid w:val="00301D61"/>
    <w:rsid w:val="003043F8"/>
    <w:rsid w:val="003059A8"/>
    <w:rsid w:val="00306C79"/>
    <w:rsid w:val="00306C96"/>
    <w:rsid w:val="00312894"/>
    <w:rsid w:val="00314225"/>
    <w:rsid w:val="0031506C"/>
    <w:rsid w:val="00315B67"/>
    <w:rsid w:val="003161CF"/>
    <w:rsid w:val="00317C1C"/>
    <w:rsid w:val="003202B4"/>
    <w:rsid w:val="003204BC"/>
    <w:rsid w:val="0032070F"/>
    <w:rsid w:val="00320852"/>
    <w:rsid w:val="00320E0F"/>
    <w:rsid w:val="003210F0"/>
    <w:rsid w:val="00321141"/>
    <w:rsid w:val="0032205C"/>
    <w:rsid w:val="003248D1"/>
    <w:rsid w:val="003255B4"/>
    <w:rsid w:val="00325A80"/>
    <w:rsid w:val="00325A9C"/>
    <w:rsid w:val="00326639"/>
    <w:rsid w:val="00326C15"/>
    <w:rsid w:val="00332340"/>
    <w:rsid w:val="00333684"/>
    <w:rsid w:val="00334919"/>
    <w:rsid w:val="00335793"/>
    <w:rsid w:val="00335DC0"/>
    <w:rsid w:val="00336C02"/>
    <w:rsid w:val="003402D8"/>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95B"/>
    <w:rsid w:val="00355D2B"/>
    <w:rsid w:val="00357A8A"/>
    <w:rsid w:val="00361F6F"/>
    <w:rsid w:val="00362B51"/>
    <w:rsid w:val="003640AF"/>
    <w:rsid w:val="0036473B"/>
    <w:rsid w:val="00364BAE"/>
    <w:rsid w:val="0036736C"/>
    <w:rsid w:val="0037212F"/>
    <w:rsid w:val="003722F8"/>
    <w:rsid w:val="00372476"/>
    <w:rsid w:val="00372733"/>
    <w:rsid w:val="0037366E"/>
    <w:rsid w:val="003742CB"/>
    <w:rsid w:val="003748FB"/>
    <w:rsid w:val="003758C4"/>
    <w:rsid w:val="0038099D"/>
    <w:rsid w:val="00380FE8"/>
    <w:rsid w:val="00381106"/>
    <w:rsid w:val="003811DA"/>
    <w:rsid w:val="003821D7"/>
    <w:rsid w:val="00382541"/>
    <w:rsid w:val="00382E77"/>
    <w:rsid w:val="00383D08"/>
    <w:rsid w:val="00384D85"/>
    <w:rsid w:val="00385C57"/>
    <w:rsid w:val="0038632C"/>
    <w:rsid w:val="00386B1C"/>
    <w:rsid w:val="00386D3C"/>
    <w:rsid w:val="00387948"/>
    <w:rsid w:val="00387C33"/>
    <w:rsid w:val="00387EBE"/>
    <w:rsid w:val="0039118E"/>
    <w:rsid w:val="00391F0B"/>
    <w:rsid w:val="00393F65"/>
    <w:rsid w:val="003944FF"/>
    <w:rsid w:val="00395E9E"/>
    <w:rsid w:val="003964E1"/>
    <w:rsid w:val="003965B6"/>
    <w:rsid w:val="0039777C"/>
    <w:rsid w:val="00397EFF"/>
    <w:rsid w:val="003A0A11"/>
    <w:rsid w:val="003A33F0"/>
    <w:rsid w:val="003A3790"/>
    <w:rsid w:val="003A3A37"/>
    <w:rsid w:val="003A3E74"/>
    <w:rsid w:val="003A3FDC"/>
    <w:rsid w:val="003A4394"/>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17B"/>
    <w:rsid w:val="003C0D11"/>
    <w:rsid w:val="003C1064"/>
    <w:rsid w:val="003C2511"/>
    <w:rsid w:val="003C3641"/>
    <w:rsid w:val="003C393C"/>
    <w:rsid w:val="003C3BB2"/>
    <w:rsid w:val="003C3F95"/>
    <w:rsid w:val="003C573E"/>
    <w:rsid w:val="003C68AF"/>
    <w:rsid w:val="003C68DF"/>
    <w:rsid w:val="003C6B22"/>
    <w:rsid w:val="003C727A"/>
    <w:rsid w:val="003D0150"/>
    <w:rsid w:val="003D18EF"/>
    <w:rsid w:val="003D24AD"/>
    <w:rsid w:val="003D5364"/>
    <w:rsid w:val="003E3032"/>
    <w:rsid w:val="003E3043"/>
    <w:rsid w:val="003E42A0"/>
    <w:rsid w:val="003E55DE"/>
    <w:rsid w:val="003E5B45"/>
    <w:rsid w:val="003F037D"/>
    <w:rsid w:val="003F0AF3"/>
    <w:rsid w:val="003F0BCC"/>
    <w:rsid w:val="003F0F1B"/>
    <w:rsid w:val="003F13CC"/>
    <w:rsid w:val="003F1680"/>
    <w:rsid w:val="003F1A1E"/>
    <w:rsid w:val="003F1EBF"/>
    <w:rsid w:val="003F22DF"/>
    <w:rsid w:val="003F3DFF"/>
    <w:rsid w:val="003F458F"/>
    <w:rsid w:val="003F571D"/>
    <w:rsid w:val="003F64C9"/>
    <w:rsid w:val="003F71E2"/>
    <w:rsid w:val="003F7DC9"/>
    <w:rsid w:val="00400CFD"/>
    <w:rsid w:val="0040147C"/>
    <w:rsid w:val="00401506"/>
    <w:rsid w:val="00401743"/>
    <w:rsid w:val="0040174B"/>
    <w:rsid w:val="00402AE4"/>
    <w:rsid w:val="004034DA"/>
    <w:rsid w:val="00405BAE"/>
    <w:rsid w:val="00406720"/>
    <w:rsid w:val="00406768"/>
    <w:rsid w:val="00407AC5"/>
    <w:rsid w:val="00410156"/>
    <w:rsid w:val="00410287"/>
    <w:rsid w:val="00410A38"/>
    <w:rsid w:val="0041119F"/>
    <w:rsid w:val="00411A43"/>
    <w:rsid w:val="0041204D"/>
    <w:rsid w:val="0041254F"/>
    <w:rsid w:val="00413108"/>
    <w:rsid w:val="00415A4C"/>
    <w:rsid w:val="00415CA1"/>
    <w:rsid w:val="00417338"/>
    <w:rsid w:val="00420055"/>
    <w:rsid w:val="00420E93"/>
    <w:rsid w:val="004228CA"/>
    <w:rsid w:val="00422DD1"/>
    <w:rsid w:val="00422E57"/>
    <w:rsid w:val="004236F7"/>
    <w:rsid w:val="0042485E"/>
    <w:rsid w:val="00424C9E"/>
    <w:rsid w:val="004251BD"/>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5D4"/>
    <w:rsid w:val="004416BB"/>
    <w:rsid w:val="00441EE6"/>
    <w:rsid w:val="004442E0"/>
    <w:rsid w:val="004453F1"/>
    <w:rsid w:val="00445523"/>
    <w:rsid w:val="00446B24"/>
    <w:rsid w:val="004471BB"/>
    <w:rsid w:val="00447540"/>
    <w:rsid w:val="00447EE7"/>
    <w:rsid w:val="0045129B"/>
    <w:rsid w:val="004532E0"/>
    <w:rsid w:val="004536B4"/>
    <w:rsid w:val="00456D78"/>
    <w:rsid w:val="00457DDD"/>
    <w:rsid w:val="004606CB"/>
    <w:rsid w:val="0046428E"/>
    <w:rsid w:val="0046449F"/>
    <w:rsid w:val="00465200"/>
    <w:rsid w:val="00465F1F"/>
    <w:rsid w:val="00466412"/>
    <w:rsid w:val="00467702"/>
    <w:rsid w:val="00467E42"/>
    <w:rsid w:val="00470AD8"/>
    <w:rsid w:val="00471411"/>
    <w:rsid w:val="00472A40"/>
    <w:rsid w:val="004735C4"/>
    <w:rsid w:val="0047369E"/>
    <w:rsid w:val="00475570"/>
    <w:rsid w:val="004758DB"/>
    <w:rsid w:val="00475F56"/>
    <w:rsid w:val="0047667E"/>
    <w:rsid w:val="00476A27"/>
    <w:rsid w:val="00476FDE"/>
    <w:rsid w:val="00477967"/>
    <w:rsid w:val="00480086"/>
    <w:rsid w:val="00481D06"/>
    <w:rsid w:val="00483239"/>
    <w:rsid w:val="00484A72"/>
    <w:rsid w:val="0048572D"/>
    <w:rsid w:val="004915BF"/>
    <w:rsid w:val="00492560"/>
    <w:rsid w:val="0049266F"/>
    <w:rsid w:val="00493151"/>
    <w:rsid w:val="00493C61"/>
    <w:rsid w:val="004949D2"/>
    <w:rsid w:val="00494BCA"/>
    <w:rsid w:val="00495580"/>
    <w:rsid w:val="00495734"/>
    <w:rsid w:val="00496399"/>
    <w:rsid w:val="00497764"/>
    <w:rsid w:val="00497AA4"/>
    <w:rsid w:val="004A03D6"/>
    <w:rsid w:val="004A0895"/>
    <w:rsid w:val="004A1A85"/>
    <w:rsid w:val="004A2B18"/>
    <w:rsid w:val="004A2BCF"/>
    <w:rsid w:val="004A2F6D"/>
    <w:rsid w:val="004A4C56"/>
    <w:rsid w:val="004A53B3"/>
    <w:rsid w:val="004A67A4"/>
    <w:rsid w:val="004A7123"/>
    <w:rsid w:val="004B347A"/>
    <w:rsid w:val="004B353D"/>
    <w:rsid w:val="004B35B5"/>
    <w:rsid w:val="004B38CA"/>
    <w:rsid w:val="004B408D"/>
    <w:rsid w:val="004B4F2B"/>
    <w:rsid w:val="004B575F"/>
    <w:rsid w:val="004B5BF8"/>
    <w:rsid w:val="004B5EBA"/>
    <w:rsid w:val="004B7F4F"/>
    <w:rsid w:val="004C0269"/>
    <w:rsid w:val="004C1726"/>
    <w:rsid w:val="004C1FF2"/>
    <w:rsid w:val="004C2224"/>
    <w:rsid w:val="004C2FAF"/>
    <w:rsid w:val="004C41F7"/>
    <w:rsid w:val="004C48DD"/>
    <w:rsid w:val="004C4DCB"/>
    <w:rsid w:val="004C4F86"/>
    <w:rsid w:val="004C62B7"/>
    <w:rsid w:val="004C6CE3"/>
    <w:rsid w:val="004D0D2E"/>
    <w:rsid w:val="004D1CC2"/>
    <w:rsid w:val="004D2068"/>
    <w:rsid w:val="004D309B"/>
    <w:rsid w:val="004D3B2C"/>
    <w:rsid w:val="004D3B60"/>
    <w:rsid w:val="004D3D70"/>
    <w:rsid w:val="004D5129"/>
    <w:rsid w:val="004D5545"/>
    <w:rsid w:val="004D5E26"/>
    <w:rsid w:val="004D603F"/>
    <w:rsid w:val="004D642F"/>
    <w:rsid w:val="004D7C9B"/>
    <w:rsid w:val="004E1232"/>
    <w:rsid w:val="004E15C3"/>
    <w:rsid w:val="004E1672"/>
    <w:rsid w:val="004E220E"/>
    <w:rsid w:val="004E3004"/>
    <w:rsid w:val="004E50D8"/>
    <w:rsid w:val="004E5373"/>
    <w:rsid w:val="004E54FC"/>
    <w:rsid w:val="004E56A1"/>
    <w:rsid w:val="004E6021"/>
    <w:rsid w:val="004E6FC8"/>
    <w:rsid w:val="004E7012"/>
    <w:rsid w:val="004E76A8"/>
    <w:rsid w:val="004E7796"/>
    <w:rsid w:val="004F05E2"/>
    <w:rsid w:val="004F0BAE"/>
    <w:rsid w:val="004F0F46"/>
    <w:rsid w:val="004F1257"/>
    <w:rsid w:val="004F1DA7"/>
    <w:rsid w:val="004F227E"/>
    <w:rsid w:val="004F2434"/>
    <w:rsid w:val="004F289D"/>
    <w:rsid w:val="004F3A31"/>
    <w:rsid w:val="004F3AFD"/>
    <w:rsid w:val="004F42E0"/>
    <w:rsid w:val="004F4C28"/>
    <w:rsid w:val="004F5235"/>
    <w:rsid w:val="004F5BAB"/>
    <w:rsid w:val="004F5BDF"/>
    <w:rsid w:val="005000B2"/>
    <w:rsid w:val="00500BFD"/>
    <w:rsid w:val="00501A3B"/>
    <w:rsid w:val="00502353"/>
    <w:rsid w:val="0050245C"/>
    <w:rsid w:val="0050336A"/>
    <w:rsid w:val="00504CAD"/>
    <w:rsid w:val="00505591"/>
    <w:rsid w:val="005101FE"/>
    <w:rsid w:val="00511612"/>
    <w:rsid w:val="00511A2C"/>
    <w:rsid w:val="00511AB9"/>
    <w:rsid w:val="00514FBC"/>
    <w:rsid w:val="00514FEB"/>
    <w:rsid w:val="00521877"/>
    <w:rsid w:val="0052192D"/>
    <w:rsid w:val="00522413"/>
    <w:rsid w:val="00523DAC"/>
    <w:rsid w:val="00523DFB"/>
    <w:rsid w:val="00523E0F"/>
    <w:rsid w:val="0052588D"/>
    <w:rsid w:val="00530087"/>
    <w:rsid w:val="005301E8"/>
    <w:rsid w:val="00530927"/>
    <w:rsid w:val="00531388"/>
    <w:rsid w:val="00531A67"/>
    <w:rsid w:val="0053349B"/>
    <w:rsid w:val="00534FC6"/>
    <w:rsid w:val="0053523C"/>
    <w:rsid w:val="005356A8"/>
    <w:rsid w:val="00536B27"/>
    <w:rsid w:val="00536D55"/>
    <w:rsid w:val="0053793E"/>
    <w:rsid w:val="00537D12"/>
    <w:rsid w:val="00537FE0"/>
    <w:rsid w:val="00540C65"/>
    <w:rsid w:val="00542102"/>
    <w:rsid w:val="00542FE7"/>
    <w:rsid w:val="00543753"/>
    <w:rsid w:val="005455A8"/>
    <w:rsid w:val="0054598E"/>
    <w:rsid w:val="0054694A"/>
    <w:rsid w:val="00546B76"/>
    <w:rsid w:val="00547177"/>
    <w:rsid w:val="00550D41"/>
    <w:rsid w:val="00551ED0"/>
    <w:rsid w:val="005527E4"/>
    <w:rsid w:val="00552C7E"/>
    <w:rsid w:val="00553A67"/>
    <w:rsid w:val="005541A1"/>
    <w:rsid w:val="0055457C"/>
    <w:rsid w:val="005545B3"/>
    <w:rsid w:val="00555409"/>
    <w:rsid w:val="005555BE"/>
    <w:rsid w:val="00556D53"/>
    <w:rsid w:val="005602A1"/>
    <w:rsid w:val="005619B9"/>
    <w:rsid w:val="0056327E"/>
    <w:rsid w:val="005639B1"/>
    <w:rsid w:val="005641B8"/>
    <w:rsid w:val="00564A2A"/>
    <w:rsid w:val="00566351"/>
    <w:rsid w:val="00566715"/>
    <w:rsid w:val="00566F8A"/>
    <w:rsid w:val="00570863"/>
    <w:rsid w:val="005714A3"/>
    <w:rsid w:val="00572ABD"/>
    <w:rsid w:val="005731D1"/>
    <w:rsid w:val="00573BC2"/>
    <w:rsid w:val="005749FC"/>
    <w:rsid w:val="005815C3"/>
    <w:rsid w:val="00583934"/>
    <w:rsid w:val="00584FC9"/>
    <w:rsid w:val="005854E0"/>
    <w:rsid w:val="00586BDC"/>
    <w:rsid w:val="00590F86"/>
    <w:rsid w:val="005953B7"/>
    <w:rsid w:val="00597318"/>
    <w:rsid w:val="0059745F"/>
    <w:rsid w:val="005A181D"/>
    <w:rsid w:val="005A1C4D"/>
    <w:rsid w:val="005A1F6E"/>
    <w:rsid w:val="005A31E4"/>
    <w:rsid w:val="005A4CFB"/>
    <w:rsid w:val="005A4CFD"/>
    <w:rsid w:val="005A5CA5"/>
    <w:rsid w:val="005A6010"/>
    <w:rsid w:val="005A63CA"/>
    <w:rsid w:val="005A64D2"/>
    <w:rsid w:val="005A683D"/>
    <w:rsid w:val="005A6E11"/>
    <w:rsid w:val="005A7291"/>
    <w:rsid w:val="005A7B48"/>
    <w:rsid w:val="005B10BF"/>
    <w:rsid w:val="005B1A25"/>
    <w:rsid w:val="005B2538"/>
    <w:rsid w:val="005B2C72"/>
    <w:rsid w:val="005B37F5"/>
    <w:rsid w:val="005B4964"/>
    <w:rsid w:val="005B58AB"/>
    <w:rsid w:val="005B6E14"/>
    <w:rsid w:val="005C111F"/>
    <w:rsid w:val="005C13D8"/>
    <w:rsid w:val="005C18BE"/>
    <w:rsid w:val="005C1DF5"/>
    <w:rsid w:val="005C25B8"/>
    <w:rsid w:val="005C3028"/>
    <w:rsid w:val="005C342C"/>
    <w:rsid w:val="005C3B6D"/>
    <w:rsid w:val="005C7E52"/>
    <w:rsid w:val="005D1224"/>
    <w:rsid w:val="005D1CF2"/>
    <w:rsid w:val="005D1E26"/>
    <w:rsid w:val="005D291F"/>
    <w:rsid w:val="005D38F3"/>
    <w:rsid w:val="005D4846"/>
    <w:rsid w:val="005D54B1"/>
    <w:rsid w:val="005D77EB"/>
    <w:rsid w:val="005E10AD"/>
    <w:rsid w:val="005E1379"/>
    <w:rsid w:val="005E22C1"/>
    <w:rsid w:val="005E4114"/>
    <w:rsid w:val="005E46C9"/>
    <w:rsid w:val="005E4D02"/>
    <w:rsid w:val="005E5E16"/>
    <w:rsid w:val="005E61F1"/>
    <w:rsid w:val="005E61FE"/>
    <w:rsid w:val="005E63F3"/>
    <w:rsid w:val="005F05BD"/>
    <w:rsid w:val="005F15FD"/>
    <w:rsid w:val="005F1ADF"/>
    <w:rsid w:val="005F29C7"/>
    <w:rsid w:val="005F3738"/>
    <w:rsid w:val="005F5944"/>
    <w:rsid w:val="005F60D1"/>
    <w:rsid w:val="005F6255"/>
    <w:rsid w:val="005F648C"/>
    <w:rsid w:val="005F711C"/>
    <w:rsid w:val="005F750B"/>
    <w:rsid w:val="005F76B3"/>
    <w:rsid w:val="00602337"/>
    <w:rsid w:val="00602B16"/>
    <w:rsid w:val="0060399B"/>
    <w:rsid w:val="0060445B"/>
    <w:rsid w:val="00604B68"/>
    <w:rsid w:val="006069A5"/>
    <w:rsid w:val="006075F0"/>
    <w:rsid w:val="00607892"/>
    <w:rsid w:val="00610911"/>
    <w:rsid w:val="00610CBF"/>
    <w:rsid w:val="00610D58"/>
    <w:rsid w:val="006110C2"/>
    <w:rsid w:val="00611F2B"/>
    <w:rsid w:val="0061300F"/>
    <w:rsid w:val="00613444"/>
    <w:rsid w:val="00614E7F"/>
    <w:rsid w:val="006151F9"/>
    <w:rsid w:val="006167AE"/>
    <w:rsid w:val="006172F0"/>
    <w:rsid w:val="00617692"/>
    <w:rsid w:val="006179A1"/>
    <w:rsid w:val="00617B9D"/>
    <w:rsid w:val="00620013"/>
    <w:rsid w:val="006206D7"/>
    <w:rsid w:val="00621ECB"/>
    <w:rsid w:val="006225AF"/>
    <w:rsid w:val="00622DF0"/>
    <w:rsid w:val="00624E37"/>
    <w:rsid w:val="006261FD"/>
    <w:rsid w:val="00626F26"/>
    <w:rsid w:val="00627915"/>
    <w:rsid w:val="00630714"/>
    <w:rsid w:val="00632F0E"/>
    <w:rsid w:val="0063398B"/>
    <w:rsid w:val="0063488B"/>
    <w:rsid w:val="00634F1B"/>
    <w:rsid w:val="00635E2D"/>
    <w:rsid w:val="00640653"/>
    <w:rsid w:val="00640B2C"/>
    <w:rsid w:val="00642EF8"/>
    <w:rsid w:val="006433EA"/>
    <w:rsid w:val="00643513"/>
    <w:rsid w:val="0064356D"/>
    <w:rsid w:val="00643EBD"/>
    <w:rsid w:val="00643F52"/>
    <w:rsid w:val="006440DC"/>
    <w:rsid w:val="006447CC"/>
    <w:rsid w:val="006450D4"/>
    <w:rsid w:val="0064574E"/>
    <w:rsid w:val="00645DF8"/>
    <w:rsid w:val="00646318"/>
    <w:rsid w:val="006469EE"/>
    <w:rsid w:val="00646C91"/>
    <w:rsid w:val="00646CD0"/>
    <w:rsid w:val="00650EA5"/>
    <w:rsid w:val="006512F9"/>
    <w:rsid w:val="00651478"/>
    <w:rsid w:val="006515D4"/>
    <w:rsid w:val="006516E7"/>
    <w:rsid w:val="006517D5"/>
    <w:rsid w:val="00651861"/>
    <w:rsid w:val="006526E7"/>
    <w:rsid w:val="00654193"/>
    <w:rsid w:val="00655058"/>
    <w:rsid w:val="006551CC"/>
    <w:rsid w:val="006553BA"/>
    <w:rsid w:val="006559F9"/>
    <w:rsid w:val="00655A3F"/>
    <w:rsid w:val="00655F87"/>
    <w:rsid w:val="00656717"/>
    <w:rsid w:val="006567C2"/>
    <w:rsid w:val="0066040A"/>
    <w:rsid w:val="00660927"/>
    <w:rsid w:val="006616BC"/>
    <w:rsid w:val="00661A10"/>
    <w:rsid w:val="00662D40"/>
    <w:rsid w:val="0066415C"/>
    <w:rsid w:val="00664664"/>
    <w:rsid w:val="006666EA"/>
    <w:rsid w:val="00667400"/>
    <w:rsid w:val="00667DD3"/>
    <w:rsid w:val="00671A6D"/>
    <w:rsid w:val="0067271B"/>
    <w:rsid w:val="006729C1"/>
    <w:rsid w:val="00673A8F"/>
    <w:rsid w:val="00673D52"/>
    <w:rsid w:val="00673F6F"/>
    <w:rsid w:val="00674807"/>
    <w:rsid w:val="00675417"/>
    <w:rsid w:val="00675C90"/>
    <w:rsid w:val="00675CF3"/>
    <w:rsid w:val="006765D4"/>
    <w:rsid w:val="00677551"/>
    <w:rsid w:val="006800AE"/>
    <w:rsid w:val="0068036B"/>
    <w:rsid w:val="00680400"/>
    <w:rsid w:val="00681D6B"/>
    <w:rsid w:val="00681FDD"/>
    <w:rsid w:val="0068218F"/>
    <w:rsid w:val="00682313"/>
    <w:rsid w:val="00682DC8"/>
    <w:rsid w:val="00683BBC"/>
    <w:rsid w:val="00683D44"/>
    <w:rsid w:val="00683D8E"/>
    <w:rsid w:val="00684CD4"/>
    <w:rsid w:val="00684F51"/>
    <w:rsid w:val="006853E7"/>
    <w:rsid w:val="00685767"/>
    <w:rsid w:val="00685916"/>
    <w:rsid w:val="00686199"/>
    <w:rsid w:val="00686B56"/>
    <w:rsid w:val="00687F2C"/>
    <w:rsid w:val="00690DA2"/>
    <w:rsid w:val="006922F3"/>
    <w:rsid w:val="0069333D"/>
    <w:rsid w:val="00693AFD"/>
    <w:rsid w:val="00693FBF"/>
    <w:rsid w:val="00694013"/>
    <w:rsid w:val="00696921"/>
    <w:rsid w:val="00696D53"/>
    <w:rsid w:val="006A03B9"/>
    <w:rsid w:val="006A08CE"/>
    <w:rsid w:val="006A10DF"/>
    <w:rsid w:val="006A1C8D"/>
    <w:rsid w:val="006A2773"/>
    <w:rsid w:val="006A37D8"/>
    <w:rsid w:val="006A427F"/>
    <w:rsid w:val="006A4EA4"/>
    <w:rsid w:val="006A6057"/>
    <w:rsid w:val="006B008D"/>
    <w:rsid w:val="006B0176"/>
    <w:rsid w:val="006B1CC9"/>
    <w:rsid w:val="006B1CF0"/>
    <w:rsid w:val="006B1D1A"/>
    <w:rsid w:val="006B3451"/>
    <w:rsid w:val="006B4E25"/>
    <w:rsid w:val="006B5CFE"/>
    <w:rsid w:val="006B5D86"/>
    <w:rsid w:val="006B661C"/>
    <w:rsid w:val="006B66F8"/>
    <w:rsid w:val="006B7B8E"/>
    <w:rsid w:val="006C06CA"/>
    <w:rsid w:val="006C17EB"/>
    <w:rsid w:val="006C197C"/>
    <w:rsid w:val="006C271D"/>
    <w:rsid w:val="006C2B3C"/>
    <w:rsid w:val="006C5A73"/>
    <w:rsid w:val="006C6336"/>
    <w:rsid w:val="006C65B8"/>
    <w:rsid w:val="006C6722"/>
    <w:rsid w:val="006C6734"/>
    <w:rsid w:val="006C7422"/>
    <w:rsid w:val="006D0679"/>
    <w:rsid w:val="006D2C0E"/>
    <w:rsid w:val="006D3566"/>
    <w:rsid w:val="006D4996"/>
    <w:rsid w:val="006D5856"/>
    <w:rsid w:val="006D5876"/>
    <w:rsid w:val="006D7BA8"/>
    <w:rsid w:val="006E0CC8"/>
    <w:rsid w:val="006E19B7"/>
    <w:rsid w:val="006E2CAF"/>
    <w:rsid w:val="006E3151"/>
    <w:rsid w:val="006E3B9F"/>
    <w:rsid w:val="006E565C"/>
    <w:rsid w:val="006E60D3"/>
    <w:rsid w:val="006E66C2"/>
    <w:rsid w:val="006E72EB"/>
    <w:rsid w:val="006F025E"/>
    <w:rsid w:val="006F043D"/>
    <w:rsid w:val="006F29FB"/>
    <w:rsid w:val="006F2A6F"/>
    <w:rsid w:val="006F41D0"/>
    <w:rsid w:val="006F5418"/>
    <w:rsid w:val="006F6069"/>
    <w:rsid w:val="006F6F79"/>
    <w:rsid w:val="006F7C90"/>
    <w:rsid w:val="007037EF"/>
    <w:rsid w:val="0070443E"/>
    <w:rsid w:val="007044B1"/>
    <w:rsid w:val="00704542"/>
    <w:rsid w:val="00704F2F"/>
    <w:rsid w:val="00706241"/>
    <w:rsid w:val="0071024A"/>
    <w:rsid w:val="00710F14"/>
    <w:rsid w:val="00711B84"/>
    <w:rsid w:val="00711CA5"/>
    <w:rsid w:val="00711DC0"/>
    <w:rsid w:val="007120AF"/>
    <w:rsid w:val="00713CC8"/>
    <w:rsid w:val="00714392"/>
    <w:rsid w:val="00714A03"/>
    <w:rsid w:val="00714A4F"/>
    <w:rsid w:val="007158FE"/>
    <w:rsid w:val="007200B6"/>
    <w:rsid w:val="007204DF"/>
    <w:rsid w:val="007214C2"/>
    <w:rsid w:val="00721C0E"/>
    <w:rsid w:val="00723AA5"/>
    <w:rsid w:val="007240BB"/>
    <w:rsid w:val="00724477"/>
    <w:rsid w:val="00724B87"/>
    <w:rsid w:val="00724BA2"/>
    <w:rsid w:val="00724DAB"/>
    <w:rsid w:val="007252E1"/>
    <w:rsid w:val="00725499"/>
    <w:rsid w:val="00725C5D"/>
    <w:rsid w:val="00725E9E"/>
    <w:rsid w:val="00726C1B"/>
    <w:rsid w:val="00730925"/>
    <w:rsid w:val="00730FE9"/>
    <w:rsid w:val="00731098"/>
    <w:rsid w:val="00731113"/>
    <w:rsid w:val="007313C3"/>
    <w:rsid w:val="00731593"/>
    <w:rsid w:val="00731D1D"/>
    <w:rsid w:val="00732421"/>
    <w:rsid w:val="00733504"/>
    <w:rsid w:val="00733DBB"/>
    <w:rsid w:val="00734B8A"/>
    <w:rsid w:val="00735718"/>
    <w:rsid w:val="0073760D"/>
    <w:rsid w:val="00737AA6"/>
    <w:rsid w:val="00740751"/>
    <w:rsid w:val="00741042"/>
    <w:rsid w:val="0074244E"/>
    <w:rsid w:val="007438CF"/>
    <w:rsid w:val="00743C02"/>
    <w:rsid w:val="00743C5D"/>
    <w:rsid w:val="0074553D"/>
    <w:rsid w:val="00745609"/>
    <w:rsid w:val="00745CC1"/>
    <w:rsid w:val="00745D21"/>
    <w:rsid w:val="00745D84"/>
    <w:rsid w:val="00745E8D"/>
    <w:rsid w:val="007464E6"/>
    <w:rsid w:val="00750F7E"/>
    <w:rsid w:val="0075127C"/>
    <w:rsid w:val="00751DDF"/>
    <w:rsid w:val="007529C7"/>
    <w:rsid w:val="00754137"/>
    <w:rsid w:val="00754605"/>
    <w:rsid w:val="0075504B"/>
    <w:rsid w:val="007551B7"/>
    <w:rsid w:val="007555AD"/>
    <w:rsid w:val="00757A55"/>
    <w:rsid w:val="007614D5"/>
    <w:rsid w:val="00761803"/>
    <w:rsid w:val="007623B9"/>
    <w:rsid w:val="00762555"/>
    <w:rsid w:val="0076279A"/>
    <w:rsid w:val="00762E37"/>
    <w:rsid w:val="0076424E"/>
    <w:rsid w:val="00765137"/>
    <w:rsid w:val="00765B78"/>
    <w:rsid w:val="00770579"/>
    <w:rsid w:val="0077263A"/>
    <w:rsid w:val="007751DB"/>
    <w:rsid w:val="007752C5"/>
    <w:rsid w:val="00776409"/>
    <w:rsid w:val="00776A7A"/>
    <w:rsid w:val="00777156"/>
    <w:rsid w:val="00777337"/>
    <w:rsid w:val="0077733D"/>
    <w:rsid w:val="00777D9D"/>
    <w:rsid w:val="007808D6"/>
    <w:rsid w:val="00783099"/>
    <w:rsid w:val="0078394F"/>
    <w:rsid w:val="007847CC"/>
    <w:rsid w:val="007901A2"/>
    <w:rsid w:val="0079098E"/>
    <w:rsid w:val="00790AC9"/>
    <w:rsid w:val="0079275B"/>
    <w:rsid w:val="00793333"/>
    <w:rsid w:val="007941B6"/>
    <w:rsid w:val="00795734"/>
    <w:rsid w:val="00796839"/>
    <w:rsid w:val="00796C53"/>
    <w:rsid w:val="007978AF"/>
    <w:rsid w:val="00797B49"/>
    <w:rsid w:val="007A114E"/>
    <w:rsid w:val="007A2F4F"/>
    <w:rsid w:val="007A30E7"/>
    <w:rsid w:val="007A45CE"/>
    <w:rsid w:val="007A63AB"/>
    <w:rsid w:val="007A6713"/>
    <w:rsid w:val="007A76F0"/>
    <w:rsid w:val="007B3C75"/>
    <w:rsid w:val="007B4EDE"/>
    <w:rsid w:val="007B5111"/>
    <w:rsid w:val="007B575B"/>
    <w:rsid w:val="007B5762"/>
    <w:rsid w:val="007B7561"/>
    <w:rsid w:val="007C0580"/>
    <w:rsid w:val="007C08E6"/>
    <w:rsid w:val="007C174C"/>
    <w:rsid w:val="007C1D99"/>
    <w:rsid w:val="007C4C02"/>
    <w:rsid w:val="007C6825"/>
    <w:rsid w:val="007C6CA5"/>
    <w:rsid w:val="007C6E00"/>
    <w:rsid w:val="007C6E3C"/>
    <w:rsid w:val="007C752F"/>
    <w:rsid w:val="007C7C44"/>
    <w:rsid w:val="007D074A"/>
    <w:rsid w:val="007D0F90"/>
    <w:rsid w:val="007D12F9"/>
    <w:rsid w:val="007D179F"/>
    <w:rsid w:val="007D3012"/>
    <w:rsid w:val="007D3E61"/>
    <w:rsid w:val="007D46AC"/>
    <w:rsid w:val="007D709A"/>
    <w:rsid w:val="007D725C"/>
    <w:rsid w:val="007D757E"/>
    <w:rsid w:val="007D7A13"/>
    <w:rsid w:val="007D7B14"/>
    <w:rsid w:val="007E1766"/>
    <w:rsid w:val="007E178A"/>
    <w:rsid w:val="007E17CE"/>
    <w:rsid w:val="007E1CC0"/>
    <w:rsid w:val="007E34D5"/>
    <w:rsid w:val="007E37B2"/>
    <w:rsid w:val="007E3AC0"/>
    <w:rsid w:val="007E3FFF"/>
    <w:rsid w:val="007E486D"/>
    <w:rsid w:val="007E4C1A"/>
    <w:rsid w:val="007E5323"/>
    <w:rsid w:val="007E5EEE"/>
    <w:rsid w:val="007E5FCE"/>
    <w:rsid w:val="007F015D"/>
    <w:rsid w:val="007F0CCD"/>
    <w:rsid w:val="007F10CD"/>
    <w:rsid w:val="007F27E3"/>
    <w:rsid w:val="007F30EE"/>
    <w:rsid w:val="007F3A93"/>
    <w:rsid w:val="007F3B4B"/>
    <w:rsid w:val="007F3CFD"/>
    <w:rsid w:val="007F3D7D"/>
    <w:rsid w:val="007F54C0"/>
    <w:rsid w:val="007F5733"/>
    <w:rsid w:val="007F5848"/>
    <w:rsid w:val="007F5965"/>
    <w:rsid w:val="007F5D1D"/>
    <w:rsid w:val="007F741E"/>
    <w:rsid w:val="008015B0"/>
    <w:rsid w:val="00803486"/>
    <w:rsid w:val="0080348F"/>
    <w:rsid w:val="00804092"/>
    <w:rsid w:val="008056D8"/>
    <w:rsid w:val="00805956"/>
    <w:rsid w:val="00811FA1"/>
    <w:rsid w:val="008134C5"/>
    <w:rsid w:val="00814E50"/>
    <w:rsid w:val="00814F37"/>
    <w:rsid w:val="00816C04"/>
    <w:rsid w:val="00821A32"/>
    <w:rsid w:val="008229B9"/>
    <w:rsid w:val="00823DEF"/>
    <w:rsid w:val="00824188"/>
    <w:rsid w:val="00824B15"/>
    <w:rsid w:val="00825DCD"/>
    <w:rsid w:val="008269E2"/>
    <w:rsid w:val="00827108"/>
    <w:rsid w:val="008273C7"/>
    <w:rsid w:val="00827DB4"/>
    <w:rsid w:val="00827E3F"/>
    <w:rsid w:val="00827FAB"/>
    <w:rsid w:val="00830A0C"/>
    <w:rsid w:val="0083132F"/>
    <w:rsid w:val="008314EA"/>
    <w:rsid w:val="008320FF"/>
    <w:rsid w:val="0083346D"/>
    <w:rsid w:val="008335A9"/>
    <w:rsid w:val="00835B14"/>
    <w:rsid w:val="00835E01"/>
    <w:rsid w:val="008363E0"/>
    <w:rsid w:val="00837969"/>
    <w:rsid w:val="00840816"/>
    <w:rsid w:val="00841310"/>
    <w:rsid w:val="00841DE0"/>
    <w:rsid w:val="00842222"/>
    <w:rsid w:val="0084475F"/>
    <w:rsid w:val="00844B5C"/>
    <w:rsid w:val="00844FDC"/>
    <w:rsid w:val="00845C92"/>
    <w:rsid w:val="0084705E"/>
    <w:rsid w:val="00847A1C"/>
    <w:rsid w:val="0085002F"/>
    <w:rsid w:val="008508EE"/>
    <w:rsid w:val="008508FE"/>
    <w:rsid w:val="00851992"/>
    <w:rsid w:val="00852401"/>
    <w:rsid w:val="008529C4"/>
    <w:rsid w:val="00853F81"/>
    <w:rsid w:val="008559EA"/>
    <w:rsid w:val="00861068"/>
    <w:rsid w:val="00861321"/>
    <w:rsid w:val="00862253"/>
    <w:rsid w:val="00862A5B"/>
    <w:rsid w:val="0086439F"/>
    <w:rsid w:val="00865A3D"/>
    <w:rsid w:val="00865DE8"/>
    <w:rsid w:val="00865E0F"/>
    <w:rsid w:val="00866421"/>
    <w:rsid w:val="00867BD3"/>
    <w:rsid w:val="00867D94"/>
    <w:rsid w:val="00867EA9"/>
    <w:rsid w:val="008707C1"/>
    <w:rsid w:val="00872A47"/>
    <w:rsid w:val="00873537"/>
    <w:rsid w:val="00873EDD"/>
    <w:rsid w:val="00873F47"/>
    <w:rsid w:val="00874825"/>
    <w:rsid w:val="00874D4A"/>
    <w:rsid w:val="008752E8"/>
    <w:rsid w:val="00875E47"/>
    <w:rsid w:val="00877F31"/>
    <w:rsid w:val="00880013"/>
    <w:rsid w:val="008801DA"/>
    <w:rsid w:val="0088186D"/>
    <w:rsid w:val="00882E7C"/>
    <w:rsid w:val="00883DC9"/>
    <w:rsid w:val="00883ED9"/>
    <w:rsid w:val="00883FC1"/>
    <w:rsid w:val="008840D1"/>
    <w:rsid w:val="008859BB"/>
    <w:rsid w:val="00886032"/>
    <w:rsid w:val="0088768A"/>
    <w:rsid w:val="008902C6"/>
    <w:rsid w:val="00891010"/>
    <w:rsid w:val="00891730"/>
    <w:rsid w:val="00891A02"/>
    <w:rsid w:val="008920DA"/>
    <w:rsid w:val="00892720"/>
    <w:rsid w:val="00893C63"/>
    <w:rsid w:val="00893D2A"/>
    <w:rsid w:val="00895150"/>
    <w:rsid w:val="00895D28"/>
    <w:rsid w:val="00896690"/>
    <w:rsid w:val="008A0B80"/>
    <w:rsid w:val="008A42D2"/>
    <w:rsid w:val="008A5600"/>
    <w:rsid w:val="008A56B9"/>
    <w:rsid w:val="008A69CF"/>
    <w:rsid w:val="008A6E30"/>
    <w:rsid w:val="008A73C7"/>
    <w:rsid w:val="008A7606"/>
    <w:rsid w:val="008B1D5B"/>
    <w:rsid w:val="008B3230"/>
    <w:rsid w:val="008B349C"/>
    <w:rsid w:val="008B5482"/>
    <w:rsid w:val="008B5A2F"/>
    <w:rsid w:val="008B63DD"/>
    <w:rsid w:val="008B7725"/>
    <w:rsid w:val="008C0285"/>
    <w:rsid w:val="008C05BC"/>
    <w:rsid w:val="008C064A"/>
    <w:rsid w:val="008C10D4"/>
    <w:rsid w:val="008C1839"/>
    <w:rsid w:val="008C24D1"/>
    <w:rsid w:val="008C25F8"/>
    <w:rsid w:val="008C2FE7"/>
    <w:rsid w:val="008C3766"/>
    <w:rsid w:val="008C4186"/>
    <w:rsid w:val="008C7CC5"/>
    <w:rsid w:val="008D1F5F"/>
    <w:rsid w:val="008D1F8F"/>
    <w:rsid w:val="008D2806"/>
    <w:rsid w:val="008D28AD"/>
    <w:rsid w:val="008D29F2"/>
    <w:rsid w:val="008D2ED7"/>
    <w:rsid w:val="008D3568"/>
    <w:rsid w:val="008D37EE"/>
    <w:rsid w:val="008D3FEE"/>
    <w:rsid w:val="008D4745"/>
    <w:rsid w:val="008D505F"/>
    <w:rsid w:val="008D5898"/>
    <w:rsid w:val="008D6D44"/>
    <w:rsid w:val="008E180E"/>
    <w:rsid w:val="008E3D0E"/>
    <w:rsid w:val="008E4407"/>
    <w:rsid w:val="008E4E15"/>
    <w:rsid w:val="008E53B9"/>
    <w:rsid w:val="008E595A"/>
    <w:rsid w:val="008E6892"/>
    <w:rsid w:val="008E7514"/>
    <w:rsid w:val="008E7DAA"/>
    <w:rsid w:val="008F041B"/>
    <w:rsid w:val="008F13E7"/>
    <w:rsid w:val="008F22C5"/>
    <w:rsid w:val="008F34E3"/>
    <w:rsid w:val="008F38CF"/>
    <w:rsid w:val="008F3935"/>
    <w:rsid w:val="008F5A4B"/>
    <w:rsid w:val="008F6C27"/>
    <w:rsid w:val="008F7102"/>
    <w:rsid w:val="008F76AB"/>
    <w:rsid w:val="008F7C98"/>
    <w:rsid w:val="009023C9"/>
    <w:rsid w:val="00902E69"/>
    <w:rsid w:val="009036C0"/>
    <w:rsid w:val="00905BC2"/>
    <w:rsid w:val="00905BED"/>
    <w:rsid w:val="00906246"/>
    <w:rsid w:val="0091022B"/>
    <w:rsid w:val="00911717"/>
    <w:rsid w:val="009117FD"/>
    <w:rsid w:val="0091276F"/>
    <w:rsid w:val="00913366"/>
    <w:rsid w:val="0091457A"/>
    <w:rsid w:val="00915A86"/>
    <w:rsid w:val="00915FAA"/>
    <w:rsid w:val="0091685B"/>
    <w:rsid w:val="00916FFC"/>
    <w:rsid w:val="00917112"/>
    <w:rsid w:val="00917C08"/>
    <w:rsid w:val="00920BA9"/>
    <w:rsid w:val="00921398"/>
    <w:rsid w:val="009214EA"/>
    <w:rsid w:val="0092155C"/>
    <w:rsid w:val="00921E0A"/>
    <w:rsid w:val="00922C79"/>
    <w:rsid w:val="009237D7"/>
    <w:rsid w:val="009249AB"/>
    <w:rsid w:val="00924B19"/>
    <w:rsid w:val="00925509"/>
    <w:rsid w:val="009266C8"/>
    <w:rsid w:val="009267A9"/>
    <w:rsid w:val="00926D0A"/>
    <w:rsid w:val="0092738D"/>
    <w:rsid w:val="0092763B"/>
    <w:rsid w:val="00930128"/>
    <w:rsid w:val="00930E8D"/>
    <w:rsid w:val="00933D7E"/>
    <w:rsid w:val="009349D9"/>
    <w:rsid w:val="00934F75"/>
    <w:rsid w:val="0093506D"/>
    <w:rsid w:val="009352F1"/>
    <w:rsid w:val="00935CDF"/>
    <w:rsid w:val="00936221"/>
    <w:rsid w:val="009364CB"/>
    <w:rsid w:val="00940843"/>
    <w:rsid w:val="00941CBE"/>
    <w:rsid w:val="00941FC4"/>
    <w:rsid w:val="009428B9"/>
    <w:rsid w:val="00942ADC"/>
    <w:rsid w:val="00942D1A"/>
    <w:rsid w:val="00943675"/>
    <w:rsid w:val="00945DA1"/>
    <w:rsid w:val="00951921"/>
    <w:rsid w:val="00951B2D"/>
    <w:rsid w:val="00954370"/>
    <w:rsid w:val="00954AAA"/>
    <w:rsid w:val="00954C04"/>
    <w:rsid w:val="009557CE"/>
    <w:rsid w:val="00956FE2"/>
    <w:rsid w:val="009571DF"/>
    <w:rsid w:val="009578F7"/>
    <w:rsid w:val="0096083B"/>
    <w:rsid w:val="00961C16"/>
    <w:rsid w:val="0096268D"/>
    <w:rsid w:val="009638AA"/>
    <w:rsid w:val="009645C5"/>
    <w:rsid w:val="0096493F"/>
    <w:rsid w:val="00966300"/>
    <w:rsid w:val="0097052F"/>
    <w:rsid w:val="00970B64"/>
    <w:rsid w:val="0097378F"/>
    <w:rsid w:val="00974478"/>
    <w:rsid w:val="00974A24"/>
    <w:rsid w:val="00974A9E"/>
    <w:rsid w:val="00974D1A"/>
    <w:rsid w:val="00977351"/>
    <w:rsid w:val="00980F0F"/>
    <w:rsid w:val="009811B8"/>
    <w:rsid w:val="00982429"/>
    <w:rsid w:val="00983380"/>
    <w:rsid w:val="00985EF9"/>
    <w:rsid w:val="009876EE"/>
    <w:rsid w:val="009908C6"/>
    <w:rsid w:val="00992815"/>
    <w:rsid w:val="0099316E"/>
    <w:rsid w:val="00993AFF"/>
    <w:rsid w:val="00993C01"/>
    <w:rsid w:val="00994B3F"/>
    <w:rsid w:val="00994D19"/>
    <w:rsid w:val="00996693"/>
    <w:rsid w:val="00997515"/>
    <w:rsid w:val="00997C4B"/>
    <w:rsid w:val="009A131F"/>
    <w:rsid w:val="009A14ED"/>
    <w:rsid w:val="009A1DA3"/>
    <w:rsid w:val="009A4590"/>
    <w:rsid w:val="009A6E35"/>
    <w:rsid w:val="009A6FF5"/>
    <w:rsid w:val="009A780B"/>
    <w:rsid w:val="009B0C79"/>
    <w:rsid w:val="009B1F2F"/>
    <w:rsid w:val="009B20B3"/>
    <w:rsid w:val="009B2BC9"/>
    <w:rsid w:val="009B4492"/>
    <w:rsid w:val="009B4F1D"/>
    <w:rsid w:val="009B61ED"/>
    <w:rsid w:val="009C0660"/>
    <w:rsid w:val="009C070D"/>
    <w:rsid w:val="009C0C5A"/>
    <w:rsid w:val="009C12A0"/>
    <w:rsid w:val="009C13DE"/>
    <w:rsid w:val="009C1595"/>
    <w:rsid w:val="009C3096"/>
    <w:rsid w:val="009C57FE"/>
    <w:rsid w:val="009C758C"/>
    <w:rsid w:val="009C778C"/>
    <w:rsid w:val="009C79FD"/>
    <w:rsid w:val="009D081A"/>
    <w:rsid w:val="009D0DC3"/>
    <w:rsid w:val="009D1404"/>
    <w:rsid w:val="009D15EF"/>
    <w:rsid w:val="009D1F03"/>
    <w:rsid w:val="009D3049"/>
    <w:rsid w:val="009D5EC9"/>
    <w:rsid w:val="009D7694"/>
    <w:rsid w:val="009E0296"/>
    <w:rsid w:val="009E10B1"/>
    <w:rsid w:val="009E11AD"/>
    <w:rsid w:val="009E28E0"/>
    <w:rsid w:val="009E290F"/>
    <w:rsid w:val="009E36FF"/>
    <w:rsid w:val="009E5842"/>
    <w:rsid w:val="009E738F"/>
    <w:rsid w:val="009E7BA5"/>
    <w:rsid w:val="009F04EC"/>
    <w:rsid w:val="009F066E"/>
    <w:rsid w:val="009F10ED"/>
    <w:rsid w:val="009F1C52"/>
    <w:rsid w:val="009F24DC"/>
    <w:rsid w:val="009F6A1E"/>
    <w:rsid w:val="009F6C9B"/>
    <w:rsid w:val="00A0049C"/>
    <w:rsid w:val="00A00EA5"/>
    <w:rsid w:val="00A0259F"/>
    <w:rsid w:val="00A02743"/>
    <w:rsid w:val="00A03D72"/>
    <w:rsid w:val="00A05CAE"/>
    <w:rsid w:val="00A05D38"/>
    <w:rsid w:val="00A05D66"/>
    <w:rsid w:val="00A0766A"/>
    <w:rsid w:val="00A0779C"/>
    <w:rsid w:val="00A10557"/>
    <w:rsid w:val="00A10692"/>
    <w:rsid w:val="00A1099D"/>
    <w:rsid w:val="00A10B6D"/>
    <w:rsid w:val="00A10CE8"/>
    <w:rsid w:val="00A10F3F"/>
    <w:rsid w:val="00A11077"/>
    <w:rsid w:val="00A11B2B"/>
    <w:rsid w:val="00A11C4B"/>
    <w:rsid w:val="00A133A7"/>
    <w:rsid w:val="00A14995"/>
    <w:rsid w:val="00A14F62"/>
    <w:rsid w:val="00A1546C"/>
    <w:rsid w:val="00A15D6A"/>
    <w:rsid w:val="00A169E5"/>
    <w:rsid w:val="00A16A2F"/>
    <w:rsid w:val="00A16D54"/>
    <w:rsid w:val="00A22BCA"/>
    <w:rsid w:val="00A22DA5"/>
    <w:rsid w:val="00A23356"/>
    <w:rsid w:val="00A2391B"/>
    <w:rsid w:val="00A2405A"/>
    <w:rsid w:val="00A243A9"/>
    <w:rsid w:val="00A246EC"/>
    <w:rsid w:val="00A25615"/>
    <w:rsid w:val="00A25746"/>
    <w:rsid w:val="00A2764D"/>
    <w:rsid w:val="00A27713"/>
    <w:rsid w:val="00A300F0"/>
    <w:rsid w:val="00A3039F"/>
    <w:rsid w:val="00A306E7"/>
    <w:rsid w:val="00A3364C"/>
    <w:rsid w:val="00A359EA"/>
    <w:rsid w:val="00A36669"/>
    <w:rsid w:val="00A36FF6"/>
    <w:rsid w:val="00A37076"/>
    <w:rsid w:val="00A37430"/>
    <w:rsid w:val="00A40A2E"/>
    <w:rsid w:val="00A42DE6"/>
    <w:rsid w:val="00A43074"/>
    <w:rsid w:val="00A43489"/>
    <w:rsid w:val="00A43766"/>
    <w:rsid w:val="00A43B8F"/>
    <w:rsid w:val="00A43B91"/>
    <w:rsid w:val="00A447B7"/>
    <w:rsid w:val="00A45642"/>
    <w:rsid w:val="00A4624E"/>
    <w:rsid w:val="00A467F2"/>
    <w:rsid w:val="00A50156"/>
    <w:rsid w:val="00A51420"/>
    <w:rsid w:val="00A52131"/>
    <w:rsid w:val="00A552D7"/>
    <w:rsid w:val="00A55859"/>
    <w:rsid w:val="00A55F75"/>
    <w:rsid w:val="00A567BD"/>
    <w:rsid w:val="00A57E82"/>
    <w:rsid w:val="00A60985"/>
    <w:rsid w:val="00A61C46"/>
    <w:rsid w:val="00A62153"/>
    <w:rsid w:val="00A62B0C"/>
    <w:rsid w:val="00A6416D"/>
    <w:rsid w:val="00A64ADF"/>
    <w:rsid w:val="00A656ED"/>
    <w:rsid w:val="00A65D0D"/>
    <w:rsid w:val="00A66AA4"/>
    <w:rsid w:val="00A66BF6"/>
    <w:rsid w:val="00A70B1C"/>
    <w:rsid w:val="00A711BF"/>
    <w:rsid w:val="00A7215F"/>
    <w:rsid w:val="00A722B8"/>
    <w:rsid w:val="00A737C1"/>
    <w:rsid w:val="00A754D5"/>
    <w:rsid w:val="00A7566B"/>
    <w:rsid w:val="00A76BE7"/>
    <w:rsid w:val="00A76F8D"/>
    <w:rsid w:val="00A81B66"/>
    <w:rsid w:val="00A82D1F"/>
    <w:rsid w:val="00A850B5"/>
    <w:rsid w:val="00A904EB"/>
    <w:rsid w:val="00A9053C"/>
    <w:rsid w:val="00A90BB8"/>
    <w:rsid w:val="00A91EFA"/>
    <w:rsid w:val="00A92A07"/>
    <w:rsid w:val="00A93774"/>
    <w:rsid w:val="00A93879"/>
    <w:rsid w:val="00A93FB1"/>
    <w:rsid w:val="00A9447D"/>
    <w:rsid w:val="00A95564"/>
    <w:rsid w:val="00AA002A"/>
    <w:rsid w:val="00AA00EC"/>
    <w:rsid w:val="00AA1024"/>
    <w:rsid w:val="00AA1765"/>
    <w:rsid w:val="00AA1870"/>
    <w:rsid w:val="00AA22EB"/>
    <w:rsid w:val="00AA2405"/>
    <w:rsid w:val="00AA2ADA"/>
    <w:rsid w:val="00AA39B1"/>
    <w:rsid w:val="00AA54E7"/>
    <w:rsid w:val="00AA5D0A"/>
    <w:rsid w:val="00AA6B95"/>
    <w:rsid w:val="00AA780A"/>
    <w:rsid w:val="00AA7C49"/>
    <w:rsid w:val="00AB16AE"/>
    <w:rsid w:val="00AB23CF"/>
    <w:rsid w:val="00AB3922"/>
    <w:rsid w:val="00AB3DDE"/>
    <w:rsid w:val="00AB408E"/>
    <w:rsid w:val="00AB4E6C"/>
    <w:rsid w:val="00AB600C"/>
    <w:rsid w:val="00AB6AC8"/>
    <w:rsid w:val="00AB6D90"/>
    <w:rsid w:val="00AB77E6"/>
    <w:rsid w:val="00AC0767"/>
    <w:rsid w:val="00AC07AF"/>
    <w:rsid w:val="00AC250E"/>
    <w:rsid w:val="00AC2B1A"/>
    <w:rsid w:val="00AC342C"/>
    <w:rsid w:val="00AC4406"/>
    <w:rsid w:val="00AC606D"/>
    <w:rsid w:val="00AC6FEE"/>
    <w:rsid w:val="00AC7B0C"/>
    <w:rsid w:val="00AD0252"/>
    <w:rsid w:val="00AD03E7"/>
    <w:rsid w:val="00AD35CD"/>
    <w:rsid w:val="00AD3C64"/>
    <w:rsid w:val="00AD4DAB"/>
    <w:rsid w:val="00AD5266"/>
    <w:rsid w:val="00AD5BC4"/>
    <w:rsid w:val="00AD615B"/>
    <w:rsid w:val="00AD69D1"/>
    <w:rsid w:val="00AD7556"/>
    <w:rsid w:val="00AD7FBC"/>
    <w:rsid w:val="00AE09DA"/>
    <w:rsid w:val="00AE0D13"/>
    <w:rsid w:val="00AE1B64"/>
    <w:rsid w:val="00AE1F16"/>
    <w:rsid w:val="00AE1FD9"/>
    <w:rsid w:val="00AE3140"/>
    <w:rsid w:val="00AE393A"/>
    <w:rsid w:val="00AE446B"/>
    <w:rsid w:val="00AE4887"/>
    <w:rsid w:val="00AE4C4E"/>
    <w:rsid w:val="00AE5182"/>
    <w:rsid w:val="00AF02C4"/>
    <w:rsid w:val="00AF1788"/>
    <w:rsid w:val="00AF34FB"/>
    <w:rsid w:val="00AF4093"/>
    <w:rsid w:val="00AF59A6"/>
    <w:rsid w:val="00AF59CA"/>
    <w:rsid w:val="00AF5DAA"/>
    <w:rsid w:val="00AF6D83"/>
    <w:rsid w:val="00AF77EE"/>
    <w:rsid w:val="00AF78DD"/>
    <w:rsid w:val="00B003FD"/>
    <w:rsid w:val="00B0061F"/>
    <w:rsid w:val="00B01083"/>
    <w:rsid w:val="00B01DD4"/>
    <w:rsid w:val="00B037FB"/>
    <w:rsid w:val="00B03CFF"/>
    <w:rsid w:val="00B04EA3"/>
    <w:rsid w:val="00B04EE4"/>
    <w:rsid w:val="00B04F70"/>
    <w:rsid w:val="00B05AE8"/>
    <w:rsid w:val="00B0716C"/>
    <w:rsid w:val="00B072BB"/>
    <w:rsid w:val="00B07675"/>
    <w:rsid w:val="00B07EDF"/>
    <w:rsid w:val="00B108DF"/>
    <w:rsid w:val="00B1421E"/>
    <w:rsid w:val="00B14DD6"/>
    <w:rsid w:val="00B151FA"/>
    <w:rsid w:val="00B15C8E"/>
    <w:rsid w:val="00B160BB"/>
    <w:rsid w:val="00B1652D"/>
    <w:rsid w:val="00B17C16"/>
    <w:rsid w:val="00B2210E"/>
    <w:rsid w:val="00B22201"/>
    <w:rsid w:val="00B23105"/>
    <w:rsid w:val="00B23B10"/>
    <w:rsid w:val="00B23C40"/>
    <w:rsid w:val="00B25634"/>
    <w:rsid w:val="00B26575"/>
    <w:rsid w:val="00B27BE3"/>
    <w:rsid w:val="00B27CCB"/>
    <w:rsid w:val="00B314F1"/>
    <w:rsid w:val="00B319E9"/>
    <w:rsid w:val="00B325EA"/>
    <w:rsid w:val="00B326D2"/>
    <w:rsid w:val="00B326F3"/>
    <w:rsid w:val="00B32DE2"/>
    <w:rsid w:val="00B32EE6"/>
    <w:rsid w:val="00B3304C"/>
    <w:rsid w:val="00B33B68"/>
    <w:rsid w:val="00B34460"/>
    <w:rsid w:val="00B348D7"/>
    <w:rsid w:val="00B361D3"/>
    <w:rsid w:val="00B366A4"/>
    <w:rsid w:val="00B4031D"/>
    <w:rsid w:val="00B4107D"/>
    <w:rsid w:val="00B41587"/>
    <w:rsid w:val="00B418A2"/>
    <w:rsid w:val="00B4243C"/>
    <w:rsid w:val="00B43644"/>
    <w:rsid w:val="00B44158"/>
    <w:rsid w:val="00B44502"/>
    <w:rsid w:val="00B45459"/>
    <w:rsid w:val="00B45F65"/>
    <w:rsid w:val="00B46811"/>
    <w:rsid w:val="00B46EA6"/>
    <w:rsid w:val="00B47039"/>
    <w:rsid w:val="00B4766F"/>
    <w:rsid w:val="00B503DF"/>
    <w:rsid w:val="00B52460"/>
    <w:rsid w:val="00B53336"/>
    <w:rsid w:val="00B5372A"/>
    <w:rsid w:val="00B53FD0"/>
    <w:rsid w:val="00B54C22"/>
    <w:rsid w:val="00B556AD"/>
    <w:rsid w:val="00B5673C"/>
    <w:rsid w:val="00B60D86"/>
    <w:rsid w:val="00B6274E"/>
    <w:rsid w:val="00B62D71"/>
    <w:rsid w:val="00B633B6"/>
    <w:rsid w:val="00B64C4D"/>
    <w:rsid w:val="00B64FAF"/>
    <w:rsid w:val="00B65064"/>
    <w:rsid w:val="00B6530B"/>
    <w:rsid w:val="00B65343"/>
    <w:rsid w:val="00B65391"/>
    <w:rsid w:val="00B66053"/>
    <w:rsid w:val="00B66AF2"/>
    <w:rsid w:val="00B66FA5"/>
    <w:rsid w:val="00B70648"/>
    <w:rsid w:val="00B7091D"/>
    <w:rsid w:val="00B710BD"/>
    <w:rsid w:val="00B71A8A"/>
    <w:rsid w:val="00B7209D"/>
    <w:rsid w:val="00B727A5"/>
    <w:rsid w:val="00B74067"/>
    <w:rsid w:val="00B74405"/>
    <w:rsid w:val="00B745CF"/>
    <w:rsid w:val="00B756D6"/>
    <w:rsid w:val="00B75848"/>
    <w:rsid w:val="00B7606B"/>
    <w:rsid w:val="00B76DD0"/>
    <w:rsid w:val="00B772FB"/>
    <w:rsid w:val="00B8067B"/>
    <w:rsid w:val="00B80BD8"/>
    <w:rsid w:val="00B8188B"/>
    <w:rsid w:val="00B81EB8"/>
    <w:rsid w:val="00B8292C"/>
    <w:rsid w:val="00B8302F"/>
    <w:rsid w:val="00B835C6"/>
    <w:rsid w:val="00B848F7"/>
    <w:rsid w:val="00B84C80"/>
    <w:rsid w:val="00B85E82"/>
    <w:rsid w:val="00B86DDF"/>
    <w:rsid w:val="00B90063"/>
    <w:rsid w:val="00B91680"/>
    <w:rsid w:val="00B933E0"/>
    <w:rsid w:val="00B968F0"/>
    <w:rsid w:val="00B96970"/>
    <w:rsid w:val="00B96AC3"/>
    <w:rsid w:val="00B96B02"/>
    <w:rsid w:val="00BA0C66"/>
    <w:rsid w:val="00BA16E2"/>
    <w:rsid w:val="00BA1C16"/>
    <w:rsid w:val="00BA2099"/>
    <w:rsid w:val="00BA35B8"/>
    <w:rsid w:val="00BA37BF"/>
    <w:rsid w:val="00BA4148"/>
    <w:rsid w:val="00BA42F2"/>
    <w:rsid w:val="00BA462E"/>
    <w:rsid w:val="00BA4D2E"/>
    <w:rsid w:val="00BA572B"/>
    <w:rsid w:val="00BA7847"/>
    <w:rsid w:val="00BA7CE5"/>
    <w:rsid w:val="00BB1BEE"/>
    <w:rsid w:val="00BB2DCF"/>
    <w:rsid w:val="00BB38D4"/>
    <w:rsid w:val="00BB3DBD"/>
    <w:rsid w:val="00BB3E0C"/>
    <w:rsid w:val="00BB40AA"/>
    <w:rsid w:val="00BB66B2"/>
    <w:rsid w:val="00BB698F"/>
    <w:rsid w:val="00BB7417"/>
    <w:rsid w:val="00BC058F"/>
    <w:rsid w:val="00BC0C07"/>
    <w:rsid w:val="00BC1A6A"/>
    <w:rsid w:val="00BC3106"/>
    <w:rsid w:val="00BC4562"/>
    <w:rsid w:val="00BC5952"/>
    <w:rsid w:val="00BC5F45"/>
    <w:rsid w:val="00BC6EED"/>
    <w:rsid w:val="00BC78A6"/>
    <w:rsid w:val="00BC7E0F"/>
    <w:rsid w:val="00BD00FE"/>
    <w:rsid w:val="00BD0830"/>
    <w:rsid w:val="00BD13DA"/>
    <w:rsid w:val="00BD1425"/>
    <w:rsid w:val="00BD26A3"/>
    <w:rsid w:val="00BD30B3"/>
    <w:rsid w:val="00BD392F"/>
    <w:rsid w:val="00BD4379"/>
    <w:rsid w:val="00BD4799"/>
    <w:rsid w:val="00BD4E32"/>
    <w:rsid w:val="00BD5BB9"/>
    <w:rsid w:val="00BD5F8C"/>
    <w:rsid w:val="00BD65A3"/>
    <w:rsid w:val="00BD6D18"/>
    <w:rsid w:val="00BD7098"/>
    <w:rsid w:val="00BD7CFC"/>
    <w:rsid w:val="00BE459F"/>
    <w:rsid w:val="00BE4A2C"/>
    <w:rsid w:val="00BE6248"/>
    <w:rsid w:val="00BE6F68"/>
    <w:rsid w:val="00BE72AA"/>
    <w:rsid w:val="00BE7C86"/>
    <w:rsid w:val="00BF002D"/>
    <w:rsid w:val="00BF0196"/>
    <w:rsid w:val="00BF0D48"/>
    <w:rsid w:val="00BF1A47"/>
    <w:rsid w:val="00BF2334"/>
    <w:rsid w:val="00BF24C7"/>
    <w:rsid w:val="00BF2D1E"/>
    <w:rsid w:val="00BF3664"/>
    <w:rsid w:val="00BF52C8"/>
    <w:rsid w:val="00BF54D1"/>
    <w:rsid w:val="00BF5555"/>
    <w:rsid w:val="00BF7518"/>
    <w:rsid w:val="00BF75BE"/>
    <w:rsid w:val="00BF794E"/>
    <w:rsid w:val="00C01164"/>
    <w:rsid w:val="00C03325"/>
    <w:rsid w:val="00C07926"/>
    <w:rsid w:val="00C13444"/>
    <w:rsid w:val="00C13CCE"/>
    <w:rsid w:val="00C1401C"/>
    <w:rsid w:val="00C15153"/>
    <w:rsid w:val="00C1604A"/>
    <w:rsid w:val="00C20D30"/>
    <w:rsid w:val="00C20E7D"/>
    <w:rsid w:val="00C20F0C"/>
    <w:rsid w:val="00C21663"/>
    <w:rsid w:val="00C219AF"/>
    <w:rsid w:val="00C23123"/>
    <w:rsid w:val="00C241B2"/>
    <w:rsid w:val="00C24CFC"/>
    <w:rsid w:val="00C254DD"/>
    <w:rsid w:val="00C257F5"/>
    <w:rsid w:val="00C27BBD"/>
    <w:rsid w:val="00C318EB"/>
    <w:rsid w:val="00C3289E"/>
    <w:rsid w:val="00C32AE9"/>
    <w:rsid w:val="00C32C1C"/>
    <w:rsid w:val="00C32E3D"/>
    <w:rsid w:val="00C33358"/>
    <w:rsid w:val="00C34400"/>
    <w:rsid w:val="00C34F4D"/>
    <w:rsid w:val="00C36B02"/>
    <w:rsid w:val="00C37659"/>
    <w:rsid w:val="00C40885"/>
    <w:rsid w:val="00C41039"/>
    <w:rsid w:val="00C41949"/>
    <w:rsid w:val="00C43C54"/>
    <w:rsid w:val="00C44D91"/>
    <w:rsid w:val="00C4721E"/>
    <w:rsid w:val="00C476D3"/>
    <w:rsid w:val="00C478E2"/>
    <w:rsid w:val="00C5063F"/>
    <w:rsid w:val="00C516D0"/>
    <w:rsid w:val="00C51EA2"/>
    <w:rsid w:val="00C527C9"/>
    <w:rsid w:val="00C52AD2"/>
    <w:rsid w:val="00C52BE8"/>
    <w:rsid w:val="00C536FD"/>
    <w:rsid w:val="00C53F3A"/>
    <w:rsid w:val="00C54623"/>
    <w:rsid w:val="00C5494F"/>
    <w:rsid w:val="00C56E0D"/>
    <w:rsid w:val="00C56ED3"/>
    <w:rsid w:val="00C5712F"/>
    <w:rsid w:val="00C57EF0"/>
    <w:rsid w:val="00C6004D"/>
    <w:rsid w:val="00C60370"/>
    <w:rsid w:val="00C60401"/>
    <w:rsid w:val="00C60608"/>
    <w:rsid w:val="00C60966"/>
    <w:rsid w:val="00C60D92"/>
    <w:rsid w:val="00C62910"/>
    <w:rsid w:val="00C62C2D"/>
    <w:rsid w:val="00C62C88"/>
    <w:rsid w:val="00C62C9D"/>
    <w:rsid w:val="00C63E65"/>
    <w:rsid w:val="00C642DB"/>
    <w:rsid w:val="00C653B9"/>
    <w:rsid w:val="00C66931"/>
    <w:rsid w:val="00C66CCD"/>
    <w:rsid w:val="00C70783"/>
    <w:rsid w:val="00C70940"/>
    <w:rsid w:val="00C70FCD"/>
    <w:rsid w:val="00C71894"/>
    <w:rsid w:val="00C71BE4"/>
    <w:rsid w:val="00C72FAD"/>
    <w:rsid w:val="00C74F7D"/>
    <w:rsid w:val="00C759BA"/>
    <w:rsid w:val="00C775B7"/>
    <w:rsid w:val="00C80048"/>
    <w:rsid w:val="00C80937"/>
    <w:rsid w:val="00C819B0"/>
    <w:rsid w:val="00C828F5"/>
    <w:rsid w:val="00C83808"/>
    <w:rsid w:val="00C859BD"/>
    <w:rsid w:val="00C86620"/>
    <w:rsid w:val="00C869DE"/>
    <w:rsid w:val="00C8757C"/>
    <w:rsid w:val="00C90A10"/>
    <w:rsid w:val="00C917D5"/>
    <w:rsid w:val="00C921D8"/>
    <w:rsid w:val="00C93DAC"/>
    <w:rsid w:val="00C941BE"/>
    <w:rsid w:val="00C94575"/>
    <w:rsid w:val="00C94F03"/>
    <w:rsid w:val="00C950AF"/>
    <w:rsid w:val="00C95450"/>
    <w:rsid w:val="00C963AF"/>
    <w:rsid w:val="00C9647B"/>
    <w:rsid w:val="00C96E9F"/>
    <w:rsid w:val="00C971D1"/>
    <w:rsid w:val="00C97ADD"/>
    <w:rsid w:val="00CA13E9"/>
    <w:rsid w:val="00CA17BA"/>
    <w:rsid w:val="00CA1BD2"/>
    <w:rsid w:val="00CA58EE"/>
    <w:rsid w:val="00CB0315"/>
    <w:rsid w:val="00CB0D30"/>
    <w:rsid w:val="00CB5C63"/>
    <w:rsid w:val="00CB614F"/>
    <w:rsid w:val="00CB64F5"/>
    <w:rsid w:val="00CB686A"/>
    <w:rsid w:val="00CB79F9"/>
    <w:rsid w:val="00CC0682"/>
    <w:rsid w:val="00CC1223"/>
    <w:rsid w:val="00CC128C"/>
    <w:rsid w:val="00CC1918"/>
    <w:rsid w:val="00CC2675"/>
    <w:rsid w:val="00CC2ADA"/>
    <w:rsid w:val="00CC3B3A"/>
    <w:rsid w:val="00CC3EE7"/>
    <w:rsid w:val="00CC3F18"/>
    <w:rsid w:val="00CC4D75"/>
    <w:rsid w:val="00CC5407"/>
    <w:rsid w:val="00CD0092"/>
    <w:rsid w:val="00CD0CF6"/>
    <w:rsid w:val="00CD129F"/>
    <w:rsid w:val="00CD1B95"/>
    <w:rsid w:val="00CD37AE"/>
    <w:rsid w:val="00CD5924"/>
    <w:rsid w:val="00CD6077"/>
    <w:rsid w:val="00CD69CE"/>
    <w:rsid w:val="00CD705F"/>
    <w:rsid w:val="00CD706F"/>
    <w:rsid w:val="00CE0AC2"/>
    <w:rsid w:val="00CE170E"/>
    <w:rsid w:val="00CE1859"/>
    <w:rsid w:val="00CE2C3F"/>
    <w:rsid w:val="00CE3EBE"/>
    <w:rsid w:val="00CE5CEE"/>
    <w:rsid w:val="00CE5ED6"/>
    <w:rsid w:val="00CE7000"/>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1F7A"/>
    <w:rsid w:val="00D02036"/>
    <w:rsid w:val="00D03AE1"/>
    <w:rsid w:val="00D049F6"/>
    <w:rsid w:val="00D1038D"/>
    <w:rsid w:val="00D10409"/>
    <w:rsid w:val="00D13C23"/>
    <w:rsid w:val="00D1423C"/>
    <w:rsid w:val="00D146F5"/>
    <w:rsid w:val="00D15724"/>
    <w:rsid w:val="00D15E8E"/>
    <w:rsid w:val="00D16943"/>
    <w:rsid w:val="00D1768A"/>
    <w:rsid w:val="00D20434"/>
    <w:rsid w:val="00D2131D"/>
    <w:rsid w:val="00D22296"/>
    <w:rsid w:val="00D22497"/>
    <w:rsid w:val="00D23793"/>
    <w:rsid w:val="00D24465"/>
    <w:rsid w:val="00D246AE"/>
    <w:rsid w:val="00D25E90"/>
    <w:rsid w:val="00D32238"/>
    <w:rsid w:val="00D3261D"/>
    <w:rsid w:val="00D33EE6"/>
    <w:rsid w:val="00D35E9B"/>
    <w:rsid w:val="00D36C02"/>
    <w:rsid w:val="00D36CF5"/>
    <w:rsid w:val="00D3747E"/>
    <w:rsid w:val="00D375EF"/>
    <w:rsid w:val="00D3778F"/>
    <w:rsid w:val="00D37F52"/>
    <w:rsid w:val="00D40505"/>
    <w:rsid w:val="00D42062"/>
    <w:rsid w:val="00D4245C"/>
    <w:rsid w:val="00D42671"/>
    <w:rsid w:val="00D42B0C"/>
    <w:rsid w:val="00D43746"/>
    <w:rsid w:val="00D439F5"/>
    <w:rsid w:val="00D45CEB"/>
    <w:rsid w:val="00D45F98"/>
    <w:rsid w:val="00D46267"/>
    <w:rsid w:val="00D4702E"/>
    <w:rsid w:val="00D50AF0"/>
    <w:rsid w:val="00D51BFA"/>
    <w:rsid w:val="00D51CFC"/>
    <w:rsid w:val="00D52F6B"/>
    <w:rsid w:val="00D5305D"/>
    <w:rsid w:val="00D53D8C"/>
    <w:rsid w:val="00D55415"/>
    <w:rsid w:val="00D56A82"/>
    <w:rsid w:val="00D572D3"/>
    <w:rsid w:val="00D57A5B"/>
    <w:rsid w:val="00D601B9"/>
    <w:rsid w:val="00D60470"/>
    <w:rsid w:val="00D60E55"/>
    <w:rsid w:val="00D611D2"/>
    <w:rsid w:val="00D618EF"/>
    <w:rsid w:val="00D63E92"/>
    <w:rsid w:val="00D643D7"/>
    <w:rsid w:val="00D656C1"/>
    <w:rsid w:val="00D65A53"/>
    <w:rsid w:val="00D65C0D"/>
    <w:rsid w:val="00D66AC2"/>
    <w:rsid w:val="00D66CE4"/>
    <w:rsid w:val="00D66D93"/>
    <w:rsid w:val="00D67B32"/>
    <w:rsid w:val="00D71E5B"/>
    <w:rsid w:val="00D7382A"/>
    <w:rsid w:val="00D73DEE"/>
    <w:rsid w:val="00D75227"/>
    <w:rsid w:val="00D767B8"/>
    <w:rsid w:val="00D76E97"/>
    <w:rsid w:val="00D80B64"/>
    <w:rsid w:val="00D80D48"/>
    <w:rsid w:val="00D8140E"/>
    <w:rsid w:val="00D82002"/>
    <w:rsid w:val="00D8224C"/>
    <w:rsid w:val="00D827A7"/>
    <w:rsid w:val="00D832EF"/>
    <w:rsid w:val="00D841B1"/>
    <w:rsid w:val="00D84385"/>
    <w:rsid w:val="00D85332"/>
    <w:rsid w:val="00D85494"/>
    <w:rsid w:val="00D85591"/>
    <w:rsid w:val="00D86CF9"/>
    <w:rsid w:val="00D86F17"/>
    <w:rsid w:val="00D876F0"/>
    <w:rsid w:val="00D87A5B"/>
    <w:rsid w:val="00D9058E"/>
    <w:rsid w:val="00D90996"/>
    <w:rsid w:val="00D90C8D"/>
    <w:rsid w:val="00D916A8"/>
    <w:rsid w:val="00D91A5A"/>
    <w:rsid w:val="00D91E55"/>
    <w:rsid w:val="00D922D0"/>
    <w:rsid w:val="00D9376B"/>
    <w:rsid w:val="00D9377E"/>
    <w:rsid w:val="00D95220"/>
    <w:rsid w:val="00D96195"/>
    <w:rsid w:val="00D96AE6"/>
    <w:rsid w:val="00D97C70"/>
    <w:rsid w:val="00DA060D"/>
    <w:rsid w:val="00DA196F"/>
    <w:rsid w:val="00DA2E66"/>
    <w:rsid w:val="00DA3604"/>
    <w:rsid w:val="00DA74AB"/>
    <w:rsid w:val="00DB10F6"/>
    <w:rsid w:val="00DB14BD"/>
    <w:rsid w:val="00DB22D0"/>
    <w:rsid w:val="00DB3497"/>
    <w:rsid w:val="00DB36CE"/>
    <w:rsid w:val="00DB41D2"/>
    <w:rsid w:val="00DB60DF"/>
    <w:rsid w:val="00DB64D7"/>
    <w:rsid w:val="00DB7D56"/>
    <w:rsid w:val="00DB7EDD"/>
    <w:rsid w:val="00DC001D"/>
    <w:rsid w:val="00DC0C6A"/>
    <w:rsid w:val="00DC22C4"/>
    <w:rsid w:val="00DC2742"/>
    <w:rsid w:val="00DC7CA7"/>
    <w:rsid w:val="00DC7E3C"/>
    <w:rsid w:val="00DD0625"/>
    <w:rsid w:val="00DD0D8E"/>
    <w:rsid w:val="00DD29B5"/>
    <w:rsid w:val="00DD4D43"/>
    <w:rsid w:val="00DD5672"/>
    <w:rsid w:val="00DD67A0"/>
    <w:rsid w:val="00DD739A"/>
    <w:rsid w:val="00DD779B"/>
    <w:rsid w:val="00DD7976"/>
    <w:rsid w:val="00DD7A29"/>
    <w:rsid w:val="00DD7DAE"/>
    <w:rsid w:val="00DE047F"/>
    <w:rsid w:val="00DE287A"/>
    <w:rsid w:val="00DE2F51"/>
    <w:rsid w:val="00DE33CA"/>
    <w:rsid w:val="00DE4090"/>
    <w:rsid w:val="00DE4A57"/>
    <w:rsid w:val="00DE6E14"/>
    <w:rsid w:val="00DF092B"/>
    <w:rsid w:val="00DF0A6D"/>
    <w:rsid w:val="00DF0E2D"/>
    <w:rsid w:val="00DF3FE6"/>
    <w:rsid w:val="00DF5529"/>
    <w:rsid w:val="00DF59AF"/>
    <w:rsid w:val="00DF59BD"/>
    <w:rsid w:val="00DF6054"/>
    <w:rsid w:val="00DF6118"/>
    <w:rsid w:val="00DF6711"/>
    <w:rsid w:val="00DF7A75"/>
    <w:rsid w:val="00DF7CD0"/>
    <w:rsid w:val="00E00CD0"/>
    <w:rsid w:val="00E01412"/>
    <w:rsid w:val="00E029D9"/>
    <w:rsid w:val="00E04070"/>
    <w:rsid w:val="00E04D85"/>
    <w:rsid w:val="00E05051"/>
    <w:rsid w:val="00E069E7"/>
    <w:rsid w:val="00E104D8"/>
    <w:rsid w:val="00E108A4"/>
    <w:rsid w:val="00E10ECE"/>
    <w:rsid w:val="00E14F0D"/>
    <w:rsid w:val="00E179AC"/>
    <w:rsid w:val="00E224DE"/>
    <w:rsid w:val="00E234C1"/>
    <w:rsid w:val="00E247EC"/>
    <w:rsid w:val="00E2547A"/>
    <w:rsid w:val="00E26108"/>
    <w:rsid w:val="00E27219"/>
    <w:rsid w:val="00E27360"/>
    <w:rsid w:val="00E277A1"/>
    <w:rsid w:val="00E27897"/>
    <w:rsid w:val="00E27917"/>
    <w:rsid w:val="00E27E36"/>
    <w:rsid w:val="00E30B44"/>
    <w:rsid w:val="00E3120B"/>
    <w:rsid w:val="00E32086"/>
    <w:rsid w:val="00E320CC"/>
    <w:rsid w:val="00E337E1"/>
    <w:rsid w:val="00E34E90"/>
    <w:rsid w:val="00E35366"/>
    <w:rsid w:val="00E35DBB"/>
    <w:rsid w:val="00E36894"/>
    <w:rsid w:val="00E36D84"/>
    <w:rsid w:val="00E37619"/>
    <w:rsid w:val="00E40FA2"/>
    <w:rsid w:val="00E41A92"/>
    <w:rsid w:val="00E41F8C"/>
    <w:rsid w:val="00E42761"/>
    <w:rsid w:val="00E446F2"/>
    <w:rsid w:val="00E45E7F"/>
    <w:rsid w:val="00E47608"/>
    <w:rsid w:val="00E5035A"/>
    <w:rsid w:val="00E5111B"/>
    <w:rsid w:val="00E53339"/>
    <w:rsid w:val="00E53409"/>
    <w:rsid w:val="00E535EC"/>
    <w:rsid w:val="00E53B90"/>
    <w:rsid w:val="00E54F37"/>
    <w:rsid w:val="00E54FEE"/>
    <w:rsid w:val="00E55651"/>
    <w:rsid w:val="00E566A8"/>
    <w:rsid w:val="00E56D20"/>
    <w:rsid w:val="00E5744D"/>
    <w:rsid w:val="00E57EEC"/>
    <w:rsid w:val="00E6367C"/>
    <w:rsid w:val="00E64099"/>
    <w:rsid w:val="00E643B3"/>
    <w:rsid w:val="00E64AE1"/>
    <w:rsid w:val="00E6518F"/>
    <w:rsid w:val="00E66837"/>
    <w:rsid w:val="00E66943"/>
    <w:rsid w:val="00E709FD"/>
    <w:rsid w:val="00E70A42"/>
    <w:rsid w:val="00E74387"/>
    <w:rsid w:val="00E74DC3"/>
    <w:rsid w:val="00E74E12"/>
    <w:rsid w:val="00E755C7"/>
    <w:rsid w:val="00E7733C"/>
    <w:rsid w:val="00E77683"/>
    <w:rsid w:val="00E82016"/>
    <w:rsid w:val="00E8366F"/>
    <w:rsid w:val="00E866B0"/>
    <w:rsid w:val="00E86D71"/>
    <w:rsid w:val="00E91894"/>
    <w:rsid w:val="00E91E0E"/>
    <w:rsid w:val="00E92165"/>
    <w:rsid w:val="00E936F8"/>
    <w:rsid w:val="00E93801"/>
    <w:rsid w:val="00E94E8A"/>
    <w:rsid w:val="00E94FB6"/>
    <w:rsid w:val="00E95A1A"/>
    <w:rsid w:val="00E95E92"/>
    <w:rsid w:val="00EA0E64"/>
    <w:rsid w:val="00EA11B6"/>
    <w:rsid w:val="00EA40A1"/>
    <w:rsid w:val="00EA5378"/>
    <w:rsid w:val="00EA5E06"/>
    <w:rsid w:val="00EA72B5"/>
    <w:rsid w:val="00EB2408"/>
    <w:rsid w:val="00EB2F4F"/>
    <w:rsid w:val="00EB358F"/>
    <w:rsid w:val="00EB3CA4"/>
    <w:rsid w:val="00EB5A8D"/>
    <w:rsid w:val="00EB648C"/>
    <w:rsid w:val="00EB707C"/>
    <w:rsid w:val="00EB780D"/>
    <w:rsid w:val="00EB7E73"/>
    <w:rsid w:val="00EC08DD"/>
    <w:rsid w:val="00EC12C5"/>
    <w:rsid w:val="00EC1C45"/>
    <w:rsid w:val="00EC3EDB"/>
    <w:rsid w:val="00EC3FD4"/>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2BF7"/>
    <w:rsid w:val="00EE39F7"/>
    <w:rsid w:val="00EE412C"/>
    <w:rsid w:val="00EE52BC"/>
    <w:rsid w:val="00EE566E"/>
    <w:rsid w:val="00EE6D3B"/>
    <w:rsid w:val="00EF0F1A"/>
    <w:rsid w:val="00EF0F76"/>
    <w:rsid w:val="00EF13C5"/>
    <w:rsid w:val="00EF3A6A"/>
    <w:rsid w:val="00EF4058"/>
    <w:rsid w:val="00EF442E"/>
    <w:rsid w:val="00EF4660"/>
    <w:rsid w:val="00EF4AAB"/>
    <w:rsid w:val="00EF596D"/>
    <w:rsid w:val="00EF62B5"/>
    <w:rsid w:val="00EF630D"/>
    <w:rsid w:val="00EF6CDC"/>
    <w:rsid w:val="00F00711"/>
    <w:rsid w:val="00F012CF"/>
    <w:rsid w:val="00F01342"/>
    <w:rsid w:val="00F0136E"/>
    <w:rsid w:val="00F01588"/>
    <w:rsid w:val="00F02030"/>
    <w:rsid w:val="00F03248"/>
    <w:rsid w:val="00F03598"/>
    <w:rsid w:val="00F04556"/>
    <w:rsid w:val="00F04A68"/>
    <w:rsid w:val="00F04B31"/>
    <w:rsid w:val="00F04D4B"/>
    <w:rsid w:val="00F04ED1"/>
    <w:rsid w:val="00F06D76"/>
    <w:rsid w:val="00F10237"/>
    <w:rsid w:val="00F1202A"/>
    <w:rsid w:val="00F128A1"/>
    <w:rsid w:val="00F1398C"/>
    <w:rsid w:val="00F13A50"/>
    <w:rsid w:val="00F13CDE"/>
    <w:rsid w:val="00F158CC"/>
    <w:rsid w:val="00F15D04"/>
    <w:rsid w:val="00F1632B"/>
    <w:rsid w:val="00F16AF8"/>
    <w:rsid w:val="00F17BC8"/>
    <w:rsid w:val="00F219CE"/>
    <w:rsid w:val="00F223EB"/>
    <w:rsid w:val="00F22B09"/>
    <w:rsid w:val="00F2351C"/>
    <w:rsid w:val="00F24053"/>
    <w:rsid w:val="00F24CA0"/>
    <w:rsid w:val="00F25BE2"/>
    <w:rsid w:val="00F25C3C"/>
    <w:rsid w:val="00F25DE2"/>
    <w:rsid w:val="00F268AA"/>
    <w:rsid w:val="00F26E2A"/>
    <w:rsid w:val="00F26E5D"/>
    <w:rsid w:val="00F27562"/>
    <w:rsid w:val="00F27F10"/>
    <w:rsid w:val="00F30E5D"/>
    <w:rsid w:val="00F346F7"/>
    <w:rsid w:val="00F34709"/>
    <w:rsid w:val="00F347B1"/>
    <w:rsid w:val="00F34D02"/>
    <w:rsid w:val="00F35721"/>
    <w:rsid w:val="00F363B9"/>
    <w:rsid w:val="00F4142C"/>
    <w:rsid w:val="00F4234D"/>
    <w:rsid w:val="00F427B9"/>
    <w:rsid w:val="00F4296E"/>
    <w:rsid w:val="00F429FA"/>
    <w:rsid w:val="00F435C3"/>
    <w:rsid w:val="00F446EE"/>
    <w:rsid w:val="00F44F8F"/>
    <w:rsid w:val="00F45729"/>
    <w:rsid w:val="00F46149"/>
    <w:rsid w:val="00F466F1"/>
    <w:rsid w:val="00F504C4"/>
    <w:rsid w:val="00F50715"/>
    <w:rsid w:val="00F517AB"/>
    <w:rsid w:val="00F5215A"/>
    <w:rsid w:val="00F524F3"/>
    <w:rsid w:val="00F52769"/>
    <w:rsid w:val="00F53440"/>
    <w:rsid w:val="00F53B29"/>
    <w:rsid w:val="00F53CDE"/>
    <w:rsid w:val="00F55904"/>
    <w:rsid w:val="00F562D2"/>
    <w:rsid w:val="00F56432"/>
    <w:rsid w:val="00F57A14"/>
    <w:rsid w:val="00F600FF"/>
    <w:rsid w:val="00F611D3"/>
    <w:rsid w:val="00F61C13"/>
    <w:rsid w:val="00F62ABB"/>
    <w:rsid w:val="00F63794"/>
    <w:rsid w:val="00F644D5"/>
    <w:rsid w:val="00F64AFC"/>
    <w:rsid w:val="00F669F1"/>
    <w:rsid w:val="00F677DF"/>
    <w:rsid w:val="00F70156"/>
    <w:rsid w:val="00F71D44"/>
    <w:rsid w:val="00F724FD"/>
    <w:rsid w:val="00F726C0"/>
    <w:rsid w:val="00F731A7"/>
    <w:rsid w:val="00F737D0"/>
    <w:rsid w:val="00F73D2B"/>
    <w:rsid w:val="00F744CA"/>
    <w:rsid w:val="00F761D4"/>
    <w:rsid w:val="00F7640E"/>
    <w:rsid w:val="00F76E89"/>
    <w:rsid w:val="00F77255"/>
    <w:rsid w:val="00F77C45"/>
    <w:rsid w:val="00F807FB"/>
    <w:rsid w:val="00F80AE4"/>
    <w:rsid w:val="00F80DC0"/>
    <w:rsid w:val="00F8197E"/>
    <w:rsid w:val="00F81DB8"/>
    <w:rsid w:val="00F8215B"/>
    <w:rsid w:val="00F82A3C"/>
    <w:rsid w:val="00F82B00"/>
    <w:rsid w:val="00F83305"/>
    <w:rsid w:val="00F84017"/>
    <w:rsid w:val="00F8606E"/>
    <w:rsid w:val="00F86098"/>
    <w:rsid w:val="00F86A9A"/>
    <w:rsid w:val="00F86D66"/>
    <w:rsid w:val="00F903EE"/>
    <w:rsid w:val="00F9081C"/>
    <w:rsid w:val="00F90D79"/>
    <w:rsid w:val="00F916F0"/>
    <w:rsid w:val="00F9345B"/>
    <w:rsid w:val="00F9468A"/>
    <w:rsid w:val="00F95214"/>
    <w:rsid w:val="00F96375"/>
    <w:rsid w:val="00F96633"/>
    <w:rsid w:val="00F977C6"/>
    <w:rsid w:val="00FA13B1"/>
    <w:rsid w:val="00FA1C8F"/>
    <w:rsid w:val="00FA61F5"/>
    <w:rsid w:val="00FA69EF"/>
    <w:rsid w:val="00FA7B69"/>
    <w:rsid w:val="00FA7C23"/>
    <w:rsid w:val="00FB0DA6"/>
    <w:rsid w:val="00FB2E5F"/>
    <w:rsid w:val="00FB38E8"/>
    <w:rsid w:val="00FC03CA"/>
    <w:rsid w:val="00FC1AB8"/>
    <w:rsid w:val="00FC2CB4"/>
    <w:rsid w:val="00FC31EB"/>
    <w:rsid w:val="00FC4976"/>
    <w:rsid w:val="00FC52E6"/>
    <w:rsid w:val="00FC5342"/>
    <w:rsid w:val="00FC66D8"/>
    <w:rsid w:val="00FC702E"/>
    <w:rsid w:val="00FD1DCB"/>
    <w:rsid w:val="00FD213E"/>
    <w:rsid w:val="00FD3933"/>
    <w:rsid w:val="00FD3BA4"/>
    <w:rsid w:val="00FD5771"/>
    <w:rsid w:val="00FD6986"/>
    <w:rsid w:val="00FD6A36"/>
    <w:rsid w:val="00FD7D16"/>
    <w:rsid w:val="00FE0F3D"/>
    <w:rsid w:val="00FE1273"/>
    <w:rsid w:val="00FE1460"/>
    <w:rsid w:val="00FE2A7A"/>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41AD"/>
    <w:rsid w:val="00FF4801"/>
    <w:rsid w:val="00FF5A19"/>
    <w:rsid w:val="00FF691E"/>
    <w:rsid w:val="00FF6FED"/>
    <w:rsid w:val="00FF70C3"/>
    <w:rsid w:val="00FF7B3F"/>
    <w:rsid w:val="00FF7D80"/>
    <w:rsid w:val="01D1610F"/>
    <w:rsid w:val="0247CFB1"/>
    <w:rsid w:val="02A3EF09"/>
    <w:rsid w:val="02EDC810"/>
    <w:rsid w:val="02EEB782"/>
    <w:rsid w:val="03894FAF"/>
    <w:rsid w:val="042677B2"/>
    <w:rsid w:val="046D470B"/>
    <w:rsid w:val="048E7BC7"/>
    <w:rsid w:val="04A80160"/>
    <w:rsid w:val="0565A633"/>
    <w:rsid w:val="06B38342"/>
    <w:rsid w:val="06D32E77"/>
    <w:rsid w:val="06E571AC"/>
    <w:rsid w:val="07D42989"/>
    <w:rsid w:val="0811E671"/>
    <w:rsid w:val="0825E49C"/>
    <w:rsid w:val="0856A70A"/>
    <w:rsid w:val="08AB6D48"/>
    <w:rsid w:val="08D6E647"/>
    <w:rsid w:val="095DCE55"/>
    <w:rsid w:val="0964D0C2"/>
    <w:rsid w:val="0A00AC0C"/>
    <w:rsid w:val="0A2B3B96"/>
    <w:rsid w:val="0A96B214"/>
    <w:rsid w:val="0B1EF971"/>
    <w:rsid w:val="0B67D39D"/>
    <w:rsid w:val="0B85F9F1"/>
    <w:rsid w:val="0B9621D3"/>
    <w:rsid w:val="0C240C6B"/>
    <w:rsid w:val="0C3C9782"/>
    <w:rsid w:val="0C596888"/>
    <w:rsid w:val="0C5D8AFA"/>
    <w:rsid w:val="0C8BF975"/>
    <w:rsid w:val="0CBD8D03"/>
    <w:rsid w:val="0CDB9617"/>
    <w:rsid w:val="0DAE76C8"/>
    <w:rsid w:val="0DC51D66"/>
    <w:rsid w:val="0DCBDAD2"/>
    <w:rsid w:val="0E23EB36"/>
    <w:rsid w:val="0E4783CE"/>
    <w:rsid w:val="0EBABFCD"/>
    <w:rsid w:val="0F2EA255"/>
    <w:rsid w:val="0F3D1135"/>
    <w:rsid w:val="0F6480EC"/>
    <w:rsid w:val="0FC584FC"/>
    <w:rsid w:val="101F8BED"/>
    <w:rsid w:val="1070C397"/>
    <w:rsid w:val="10A0FD9B"/>
    <w:rsid w:val="10C581BA"/>
    <w:rsid w:val="10C6FE88"/>
    <w:rsid w:val="10E4ED9C"/>
    <w:rsid w:val="116BECBE"/>
    <w:rsid w:val="1182A071"/>
    <w:rsid w:val="119BFB63"/>
    <w:rsid w:val="11A93EEA"/>
    <w:rsid w:val="1245D212"/>
    <w:rsid w:val="124804E0"/>
    <w:rsid w:val="125B4DB0"/>
    <w:rsid w:val="13171BFD"/>
    <w:rsid w:val="1378491B"/>
    <w:rsid w:val="14F52931"/>
    <w:rsid w:val="15B88F6B"/>
    <w:rsid w:val="164D23C2"/>
    <w:rsid w:val="164FD34E"/>
    <w:rsid w:val="1764081E"/>
    <w:rsid w:val="17E49A21"/>
    <w:rsid w:val="18B4AEA6"/>
    <w:rsid w:val="1971F689"/>
    <w:rsid w:val="19762E7A"/>
    <w:rsid w:val="1A7C7799"/>
    <w:rsid w:val="1AA9A037"/>
    <w:rsid w:val="1ABE644D"/>
    <w:rsid w:val="1AF2B999"/>
    <w:rsid w:val="1B8924ED"/>
    <w:rsid w:val="1B925F1E"/>
    <w:rsid w:val="1C0DC96F"/>
    <w:rsid w:val="1C846930"/>
    <w:rsid w:val="1CD842AF"/>
    <w:rsid w:val="1CDDE205"/>
    <w:rsid w:val="1CFCA2C9"/>
    <w:rsid w:val="1D012D3A"/>
    <w:rsid w:val="1D077869"/>
    <w:rsid w:val="1D09B34E"/>
    <w:rsid w:val="1D0B71E7"/>
    <w:rsid w:val="1D283344"/>
    <w:rsid w:val="1D4F1E3B"/>
    <w:rsid w:val="1DB99560"/>
    <w:rsid w:val="1DC61155"/>
    <w:rsid w:val="1E8015E5"/>
    <w:rsid w:val="1EE14CBC"/>
    <w:rsid w:val="1F116059"/>
    <w:rsid w:val="1FB7FDAA"/>
    <w:rsid w:val="202BEF18"/>
    <w:rsid w:val="20FC3349"/>
    <w:rsid w:val="2107EE9C"/>
    <w:rsid w:val="210DC1AA"/>
    <w:rsid w:val="21598626"/>
    <w:rsid w:val="21A9BD2C"/>
    <w:rsid w:val="221B62CD"/>
    <w:rsid w:val="226A9B3E"/>
    <w:rsid w:val="22E59BB5"/>
    <w:rsid w:val="23240BEB"/>
    <w:rsid w:val="233F2401"/>
    <w:rsid w:val="234393B7"/>
    <w:rsid w:val="2374348E"/>
    <w:rsid w:val="23809CFB"/>
    <w:rsid w:val="2399DD2F"/>
    <w:rsid w:val="249B6351"/>
    <w:rsid w:val="263A2E5F"/>
    <w:rsid w:val="276B8BD3"/>
    <w:rsid w:val="2857565C"/>
    <w:rsid w:val="28BF654B"/>
    <w:rsid w:val="28CE3589"/>
    <w:rsid w:val="28E15885"/>
    <w:rsid w:val="28E596B7"/>
    <w:rsid w:val="292066F9"/>
    <w:rsid w:val="2935171B"/>
    <w:rsid w:val="293C7445"/>
    <w:rsid w:val="29E14164"/>
    <w:rsid w:val="2A209A23"/>
    <w:rsid w:val="2BDD5596"/>
    <w:rsid w:val="2BDF456B"/>
    <w:rsid w:val="2C06CD8F"/>
    <w:rsid w:val="2C0A6C84"/>
    <w:rsid w:val="2CD2EABF"/>
    <w:rsid w:val="2D891957"/>
    <w:rsid w:val="2DF23A6B"/>
    <w:rsid w:val="2E1B631C"/>
    <w:rsid w:val="2F05E9D1"/>
    <w:rsid w:val="2F184CDC"/>
    <w:rsid w:val="2F2AC91F"/>
    <w:rsid w:val="2F42225F"/>
    <w:rsid w:val="301D01EB"/>
    <w:rsid w:val="30A9D17E"/>
    <w:rsid w:val="32132CC8"/>
    <w:rsid w:val="328B3142"/>
    <w:rsid w:val="32AF4073"/>
    <w:rsid w:val="32AF9070"/>
    <w:rsid w:val="339B3DCF"/>
    <w:rsid w:val="33E7900D"/>
    <w:rsid w:val="33F85639"/>
    <w:rsid w:val="34104724"/>
    <w:rsid w:val="3453CD35"/>
    <w:rsid w:val="34D3DB21"/>
    <w:rsid w:val="34F3851B"/>
    <w:rsid w:val="35BC10EC"/>
    <w:rsid w:val="367468E2"/>
    <w:rsid w:val="371B7B23"/>
    <w:rsid w:val="37341E0C"/>
    <w:rsid w:val="37D2B36B"/>
    <w:rsid w:val="37DC5F8D"/>
    <w:rsid w:val="37EC6911"/>
    <w:rsid w:val="384249B8"/>
    <w:rsid w:val="3880278E"/>
    <w:rsid w:val="38916C65"/>
    <w:rsid w:val="38C95841"/>
    <w:rsid w:val="396EDA9A"/>
    <w:rsid w:val="39828247"/>
    <w:rsid w:val="39F625B8"/>
    <w:rsid w:val="3A1207AB"/>
    <w:rsid w:val="3A4023E6"/>
    <w:rsid w:val="3A49B085"/>
    <w:rsid w:val="3BAA9AE8"/>
    <w:rsid w:val="3C34ECE9"/>
    <w:rsid w:val="3C53949D"/>
    <w:rsid w:val="3C99FEB0"/>
    <w:rsid w:val="3D6B046C"/>
    <w:rsid w:val="3D978862"/>
    <w:rsid w:val="3E2545E5"/>
    <w:rsid w:val="3E261A45"/>
    <w:rsid w:val="3E48DA4A"/>
    <w:rsid w:val="3E6F8C57"/>
    <w:rsid w:val="3F006756"/>
    <w:rsid w:val="3F84C52C"/>
    <w:rsid w:val="3FDFA695"/>
    <w:rsid w:val="3FFF6A5F"/>
    <w:rsid w:val="41698DF7"/>
    <w:rsid w:val="419F8658"/>
    <w:rsid w:val="41BBD71F"/>
    <w:rsid w:val="41C0BF0F"/>
    <w:rsid w:val="4204E316"/>
    <w:rsid w:val="434D8D64"/>
    <w:rsid w:val="4383848E"/>
    <w:rsid w:val="4449585D"/>
    <w:rsid w:val="44C94215"/>
    <w:rsid w:val="44D2220A"/>
    <w:rsid w:val="44F2C78C"/>
    <w:rsid w:val="45168619"/>
    <w:rsid w:val="45821BF7"/>
    <w:rsid w:val="45CF990A"/>
    <w:rsid w:val="45F15FC0"/>
    <w:rsid w:val="462F4AAC"/>
    <w:rsid w:val="474B28C5"/>
    <w:rsid w:val="47CB9FFD"/>
    <w:rsid w:val="47E879E4"/>
    <w:rsid w:val="48156B31"/>
    <w:rsid w:val="484F0877"/>
    <w:rsid w:val="4989A634"/>
    <w:rsid w:val="498D3CC3"/>
    <w:rsid w:val="4998E11E"/>
    <w:rsid w:val="49C01C41"/>
    <w:rsid w:val="4B304BF0"/>
    <w:rsid w:val="4B6FA177"/>
    <w:rsid w:val="4BB187D3"/>
    <w:rsid w:val="4BE479A2"/>
    <w:rsid w:val="4C529D78"/>
    <w:rsid w:val="4C68BA01"/>
    <w:rsid w:val="4CFB90AD"/>
    <w:rsid w:val="4D08ED77"/>
    <w:rsid w:val="4DAF2FFF"/>
    <w:rsid w:val="4DD225AB"/>
    <w:rsid w:val="4DFC729B"/>
    <w:rsid w:val="4E3074D9"/>
    <w:rsid w:val="4E345C28"/>
    <w:rsid w:val="4E3F3BC6"/>
    <w:rsid w:val="4EF7ED09"/>
    <w:rsid w:val="4F08556B"/>
    <w:rsid w:val="4F66EB6A"/>
    <w:rsid w:val="4FDE4F2F"/>
    <w:rsid w:val="4FE2010E"/>
    <w:rsid w:val="5019FED3"/>
    <w:rsid w:val="514B0432"/>
    <w:rsid w:val="52D38CC2"/>
    <w:rsid w:val="53018B0B"/>
    <w:rsid w:val="535BEED3"/>
    <w:rsid w:val="53AFBC59"/>
    <w:rsid w:val="5448057B"/>
    <w:rsid w:val="544CA679"/>
    <w:rsid w:val="54D123CB"/>
    <w:rsid w:val="55A202EB"/>
    <w:rsid w:val="5670FB0C"/>
    <w:rsid w:val="57792703"/>
    <w:rsid w:val="57B430CF"/>
    <w:rsid w:val="58E2E232"/>
    <w:rsid w:val="58F186EF"/>
    <w:rsid w:val="59F82C99"/>
    <w:rsid w:val="5B219329"/>
    <w:rsid w:val="5C509DAE"/>
    <w:rsid w:val="5CA1E18C"/>
    <w:rsid w:val="5D06D58A"/>
    <w:rsid w:val="5D69330E"/>
    <w:rsid w:val="5D953E6D"/>
    <w:rsid w:val="5DE2259D"/>
    <w:rsid w:val="5E2AD7EC"/>
    <w:rsid w:val="5EB93AE4"/>
    <w:rsid w:val="5F2E1EA5"/>
    <w:rsid w:val="5F5623CC"/>
    <w:rsid w:val="5FE5E8AC"/>
    <w:rsid w:val="5FEE432E"/>
    <w:rsid w:val="60231B09"/>
    <w:rsid w:val="609FA3A5"/>
    <w:rsid w:val="60A4ADE1"/>
    <w:rsid w:val="60B24073"/>
    <w:rsid w:val="60E82C37"/>
    <w:rsid w:val="61475766"/>
    <w:rsid w:val="615623D9"/>
    <w:rsid w:val="619360D3"/>
    <w:rsid w:val="61B452B5"/>
    <w:rsid w:val="61D82CB8"/>
    <w:rsid w:val="62B663A5"/>
    <w:rsid w:val="62E75614"/>
    <w:rsid w:val="62EC1FFC"/>
    <w:rsid w:val="63326D13"/>
    <w:rsid w:val="63B84A31"/>
    <w:rsid w:val="63DE76F8"/>
    <w:rsid w:val="63F848A1"/>
    <w:rsid w:val="642E8069"/>
    <w:rsid w:val="645CAF24"/>
    <w:rsid w:val="64B558A2"/>
    <w:rsid w:val="64DF297C"/>
    <w:rsid w:val="657CFEB0"/>
    <w:rsid w:val="65A34437"/>
    <w:rsid w:val="6629F654"/>
    <w:rsid w:val="667F536F"/>
    <w:rsid w:val="67B40A0C"/>
    <w:rsid w:val="684A02D8"/>
    <w:rsid w:val="68B182F0"/>
    <w:rsid w:val="68C75799"/>
    <w:rsid w:val="68DE4005"/>
    <w:rsid w:val="68DEF4E2"/>
    <w:rsid w:val="68EA4222"/>
    <w:rsid w:val="698B5C8F"/>
    <w:rsid w:val="69A10942"/>
    <w:rsid w:val="69D2D649"/>
    <w:rsid w:val="6A257010"/>
    <w:rsid w:val="6A36A5BB"/>
    <w:rsid w:val="6A373D3C"/>
    <w:rsid w:val="6A383C72"/>
    <w:rsid w:val="6AA88AF1"/>
    <w:rsid w:val="6AE0D800"/>
    <w:rsid w:val="6B2527C7"/>
    <w:rsid w:val="6CFBCB40"/>
    <w:rsid w:val="6D1E7998"/>
    <w:rsid w:val="6D514429"/>
    <w:rsid w:val="6DEFA711"/>
    <w:rsid w:val="6E196729"/>
    <w:rsid w:val="6E3D6837"/>
    <w:rsid w:val="6E60BA5A"/>
    <w:rsid w:val="6E634A26"/>
    <w:rsid w:val="6F251769"/>
    <w:rsid w:val="6FCFCF86"/>
    <w:rsid w:val="6FD85E5F"/>
    <w:rsid w:val="708320CB"/>
    <w:rsid w:val="71453FB2"/>
    <w:rsid w:val="7149248F"/>
    <w:rsid w:val="72B7875A"/>
    <w:rsid w:val="72CF8725"/>
    <w:rsid w:val="7330180B"/>
    <w:rsid w:val="7340741B"/>
    <w:rsid w:val="734D422A"/>
    <w:rsid w:val="73F0952D"/>
    <w:rsid w:val="73F196B7"/>
    <w:rsid w:val="74D0D582"/>
    <w:rsid w:val="74E3B408"/>
    <w:rsid w:val="75010B05"/>
    <w:rsid w:val="7572A6D9"/>
    <w:rsid w:val="7622CA75"/>
    <w:rsid w:val="76C71900"/>
    <w:rsid w:val="76E6AE2F"/>
    <w:rsid w:val="7709B65E"/>
    <w:rsid w:val="772C1047"/>
    <w:rsid w:val="7737A9DD"/>
    <w:rsid w:val="778AF933"/>
    <w:rsid w:val="77B74ADB"/>
    <w:rsid w:val="78269C61"/>
    <w:rsid w:val="784D9D88"/>
    <w:rsid w:val="78A09388"/>
    <w:rsid w:val="78B0F2EC"/>
    <w:rsid w:val="78E729A1"/>
    <w:rsid w:val="796D4887"/>
    <w:rsid w:val="7B701F6E"/>
    <w:rsid w:val="7B8D057C"/>
    <w:rsid w:val="7C1FEA58"/>
    <w:rsid w:val="7C38BEFA"/>
    <w:rsid w:val="7C4541F9"/>
    <w:rsid w:val="7CF159CA"/>
    <w:rsid w:val="7D87123C"/>
    <w:rsid w:val="7D9A502D"/>
    <w:rsid w:val="7E89C783"/>
    <w:rsid w:val="7F33049D"/>
    <w:rsid w:val="7F364D9D"/>
    <w:rsid w:val="7F578E31"/>
    <w:rsid w:val="7F8068B7"/>
    <w:rsid w:val="7F80F25D"/>
    <w:rsid w:val="7FC4B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C3B392"/>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 w:type="table" w:customStyle="1" w:styleId="NormalTable0">
    <w:name w:val="Normal Table0"/>
    <w:uiPriority w:val="2"/>
    <w:semiHidden/>
    <w:unhideWhenUsed/>
    <w:qFormat/>
    <w:rsid w:val="00F517AB"/>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17AB"/>
    <w:pPr>
      <w:widowControl w:val="0"/>
      <w:autoSpaceDE w:val="0"/>
      <w:autoSpaceDN w:val="0"/>
      <w:spacing w:after="0" w:line="240" w:lineRule="auto"/>
      <w:ind w:left="107"/>
    </w:pPr>
    <w:rPr>
      <w:rFonts w:eastAsia="Verdana" w:cs="Verdana"/>
      <w:lang w:val="es-ES" w:eastAsia="es-ES" w:bidi="es-ES"/>
    </w:rPr>
  </w:style>
  <w:style w:type="character" w:styleId="Hipervnculo">
    <w:name w:val="Hyperlink"/>
    <w:basedOn w:val="Fuentedeprrafopredeter"/>
    <w:uiPriority w:val="99"/>
    <w:unhideWhenUsed/>
    <w:rsid w:val="00C83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384989888">
      <w:bodyDiv w:val="1"/>
      <w:marLeft w:val="0"/>
      <w:marRight w:val="0"/>
      <w:marTop w:val="0"/>
      <w:marBottom w:val="0"/>
      <w:divBdr>
        <w:top w:val="none" w:sz="0" w:space="0" w:color="auto"/>
        <w:left w:val="none" w:sz="0" w:space="0" w:color="auto"/>
        <w:bottom w:val="none" w:sz="0" w:space="0" w:color="auto"/>
        <w:right w:val="none" w:sz="0" w:space="0" w:color="auto"/>
      </w:divBdr>
    </w:div>
    <w:div w:id="1386374553">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s1805182e5-my.sharepoint.com/personal/paola_martinez_sesaj_org/Documents/Sesiones%20&#211;rgano%20de%20Gobierno/2019/6%20Sesi&#243;n%20Ordinaria%2020190827/4.1.%20Transferencias%20presupuestarias%20(anexo).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s1805182e5-my.sharepoint.com/personal/paola_martinez_sesaj_org/Documents/Sesiones%20&#211;rgano%20de%20Gobierno/2019/6%20Sesi&#243;n%20Ordinaria%2020190827/4.1.%20Transferencias%20presupuestarias%20(anexo).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0B77-3F24-4BC4-87D9-6B6D683A779F}">
  <ds:schemaRefs>
    <ds:schemaRef ds:uri="http://schemas.microsoft.com/sharepoint/v3/contenttype/forms"/>
  </ds:schemaRefs>
</ds:datastoreItem>
</file>

<file path=customXml/itemProps2.xml><?xml version="1.0" encoding="utf-8"?>
<ds:datastoreItem xmlns:ds="http://schemas.openxmlformats.org/officeDocument/2006/customXml" ds:itemID="{C11FF070-A16D-4170-B0F1-B3BC8A5695DD}">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e2d3aef2-ffb7-4886-b8a9-306dea04944a"/>
    <ds:schemaRef ds:uri="95eb37b8-2aaa-4bc5-a58e-c663c2ecbc36"/>
    <ds:schemaRef ds:uri="http://purl.org/dc/dcmitype/"/>
  </ds:schemaRefs>
</ds:datastoreItem>
</file>

<file path=customXml/itemProps3.xml><?xml version="1.0" encoding="utf-8"?>
<ds:datastoreItem xmlns:ds="http://schemas.openxmlformats.org/officeDocument/2006/customXml" ds:itemID="{ECA2E73B-2242-424E-8EBC-7EE34A12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21AE5-A655-468B-ACEE-FE32D325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6264</Words>
  <Characters>34457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Reyna Wendolyn Navarro Serrano</cp:lastModifiedBy>
  <cp:revision>28</cp:revision>
  <cp:lastPrinted>2019-10-28T23:02:00Z</cp:lastPrinted>
  <dcterms:created xsi:type="dcterms:W3CDTF">2019-10-21T23:06:00Z</dcterms:created>
  <dcterms:modified xsi:type="dcterms:W3CDTF">2019-10-28T23:07:00Z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